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Reich Kristian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MOONLAKE IMMUNOTHERAPEUTICS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DORFSTRASSE 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MoonLake Immunotherapeutics</w:t>
              </w:r>
            </w:hyperlink>
            <w:r>
              <w:rPr/>
              <w:t xml:space="preserve"> [ </w:t>
            </w:r>
            <w:r>
              <w:rPr>
                <w:rFonts w:ascii="Times;serif" w:hAnsi="Times;serif"/>
                <w:color w:val="0000FF"/>
                <w:sz w:val="24"/>
                <w:shd w:fill="FFFFFF" w:val="clear"/>
              </w:rPr>
              <w:t>MLTX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00"/>
        <w:gridCol w:w="771"/>
        <w:gridCol w:w="598"/>
        <w:gridCol w:w="342"/>
        <w:gridCol w:w="914"/>
        <w:gridCol w:w="438"/>
        <w:gridCol w:w="789"/>
        <w:gridCol w:w="1257"/>
        <w:gridCol w:w="977"/>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2,714,746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2,712,298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represents the weighted average sale price per share. The shares were sold in multiple transactions at prices ranging from $20.00 to $20.06. Upon request by the staff of the U.S. Securities and Exchange Commission,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ordinary shares of the Issuer owned by JeruCON Beratungsgesellschaft mbH. Dr. Reich directly (whether through ownership or position) or indirectly through one or more intermediaries, may be deemed for purposes of Section 16 of the Securities Exchange Act of 1934, as amended, to be the indirect beneficial owner of the ordinary shares owned by JeruCON Beratungsgesellschaft mbH.</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Matthias Bodenstedt, Attorney-in-fact for Kristian Reich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0553" TargetMode="External"/><Relationship Id="rId5" Type="http://schemas.openxmlformats.org/officeDocument/2006/relationships/hyperlink" Target="http://www.sec.gov/cgi-bin/browse-edgar?action=getcompany&amp;CIK=0001821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4088</Characters>
  <CharactersWithSpaces>4750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