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Reich Kristian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MOONLAKE IMMUNOTHERAPEUTICS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DORFSTRASSE 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MoonLake Immunotherapeutics</w:t>
              </w:r>
            </w:hyperlink>
            <w:r>
              <w:rPr/>
              <w:t xml:space="preserve"> [ </w:t>
            </w:r>
            <w:r>
              <w:rPr>
                <w:rFonts w:ascii="Times;serif" w:hAnsi="Times;serif"/>
                <w:color w:val="0000FF"/>
                <w:sz w:val="24"/>
                <w:shd w:fill="FFFFFF" w:val="clear"/>
              </w:rPr>
              <w:t>MLTX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4"/>
        <w:gridCol w:w="774"/>
        <w:gridCol w:w="600"/>
        <w:gridCol w:w="349"/>
        <w:gridCol w:w="846"/>
        <w:gridCol w:w="454"/>
        <w:gridCol w:w="617"/>
        <w:gridCol w:w="1280"/>
        <w:gridCol w:w="99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2,711,198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ordinary shares of the Issuer owned by JeruCON Beratungsgesellschaft mbH. Dr. Reich directly (whether through ownership or position) or indirectly through one or more intermediaries, may be deemed for purposes of Section 16 of the Securities Exchange Act of 1934, as amended, to be the indirect beneficial owner of the ordinary shares owned by JeruCON Beratungsgesellschaft mbH.</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Bodenstedt, Attorney-in-fact for Kristian Reich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0553" TargetMode="External"/><Relationship Id="rId5" Type="http://schemas.openxmlformats.org/officeDocument/2006/relationships/hyperlink" Target="http://www.sec.gov/cgi-bin/browse-edgar?action=getcompany&amp;CIK=0001821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3657</Characters>
  <CharactersWithSpaces>4247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