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333-274286</w:t>
      </w:r>
    </w:p>
    <w:p>
      <w:pPr>
        <w:spacing w:after="0" w:line="203"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w:t>
      </w:r>
    </w:p>
    <w:p>
      <w:pPr>
        <w:spacing w:after="0" w:line="225"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FF0000"/>
        </w:rPr>
        <w:t>Preliminary Prospectus Supplement dated June 22,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11, 2023)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156845</wp:posOffset>
            </wp:positionV>
            <wp:extent cx="2117090"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are offering Class A Ordinary Shares, par value $0.0001 per share, and, in lieu of Class A Ordinary Shares to certain investors that so choose, pre-</w:t>
      </w:r>
    </w:p>
    <w:p>
      <w:pPr>
        <w:spacing w:after="0" w:line="27" w:lineRule="exact"/>
        <w:rPr>
          <w:sz w:val="24"/>
          <w:szCs w:val="24"/>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funded warrants to purchase up to Class A Ordinary Shares, pursuant to this prospectus supplement and the accompanying prospectus. The purchase price of each pre-funded warrant will equal the price per share at which our Class A Ordinary Shares are being sold to the public in this offering,</w:t>
      </w:r>
    </w:p>
    <w:p>
      <w:pPr>
        <w:spacing w:after="0" w:line="1" w:lineRule="exact"/>
        <w:rPr>
          <w:sz w:val="24"/>
          <w:szCs w:val="24"/>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minus $0.0001, the exercise price of each pre-funded warrant. The public offering price for each Class A Ordinary Share is $ . We are also offering the Class A Ordinary Shares that are issuable from time to time upon exercise of the pre-funded warrants.</w:t>
      </w:r>
    </w:p>
    <w:p>
      <w:pPr>
        <w:spacing w:after="0" w:line="181"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apply for listing of the pre-funded warrants on the Nasdaq Capital Market or any securities exchange or nationally recognized trading system. Without an active trading market, the liquidity of the pre-funded warrants will be limited.</w:t>
      </w:r>
    </w:p>
    <w:p>
      <w:pPr>
        <w:spacing w:after="0" w:line="176"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“MLTX.” On June 22, 2026, the last reported sale price of our Class A Ordinary Shares as reported on the Nasdaq Capital Market was $22.16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w:t>
      </w:r>
    </w:p>
    <w:p>
      <w:pPr>
        <w:spacing w:after="0" w:line="31" w:lineRule="exact"/>
        <w:rPr>
          <w:sz w:val="24"/>
          <w:szCs w:val="24"/>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S-4 of this prospectus supplement, and under similar headings in the documents that are incorporated by reference into this prospectus supplement and the accompanying prospectus.</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Pre-funded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w:t>
            </w: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9"/>
                <w:szCs w:val="29"/>
                <w:color w:val="auto"/>
                <w:vertAlign w:val="superscript"/>
              </w:rPr>
              <w:t>(1)</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2"/>
                <w:szCs w:val="22"/>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MoonLake Immunotherapeutics, before expenses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 See the section of this prospectus supplement entitled “Underwriting” for a description of the compensation payable to the underwriters.</w:t>
      </w:r>
    </w:p>
    <w:p>
      <w:pPr>
        <w:spacing w:after="0" w:line="225"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$22,500,000 of additional Class A Ordinary Shares, at the public offering price, less the underwriting discount, for 30 days after the date of this prospectus supplement.</w:t>
      </w:r>
    </w:p>
    <w:p>
      <w:pPr>
        <w:spacing w:after="0" w:line="158" w:lineRule="exact"/>
        <w:rPr>
          <w:sz w:val="24"/>
          <w:szCs w:val="24"/>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and the accompanying prospectus are truthful or complete. Any representation to the contrary is a criminal offense.</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0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w w:val="99"/>
              </w:rPr>
              <w:t>Delivery of the Class A Ordinary Shares and pre-funded warrants being offered hereby is expected to be made on or about</w:t>
            </w:r>
          </w:p>
        </w:tc>
        <w:tc>
          <w:tcPr>
            <w:tcW w:w="22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 2026.</w:t>
            </w:r>
          </w:p>
        </w:tc>
      </w:tr>
      <w:tr>
        <w:trPr>
          <w:trHeight w:val="223"/>
        </w:trPr>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45"/>
        </w:trPr>
        <w:tc>
          <w:tcPr>
            <w:tcW w:w="2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60" w:type="dxa"/>
            <w:vAlign w:val="bottom"/>
          </w:tcPr>
          <w:p>
            <w:pPr>
              <w:ind w:left="9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27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Leerink Partners</w:t>
            </w:r>
          </w:p>
        </w:tc>
        <w:tc>
          <w:tcPr>
            <w:tcW w:w="40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Guggenheim Securities</w:t>
            </w:r>
          </w:p>
        </w:tc>
        <w:tc>
          <w:tcPr>
            <w:tcW w:w="2320" w:type="dxa"/>
            <w:vAlign w:val="bottom"/>
            <w:gridSpan w:val="2"/>
          </w:tcPr>
          <w:p>
            <w:pPr>
              <w:jc w:val="right"/>
              <w:ind w:right="1740"/>
              <w:spacing w:after="0"/>
              <w:rPr>
                <w:sz w:val="20"/>
                <w:szCs w:val="20"/>
                <w:color w:val="auto"/>
              </w:rPr>
            </w:pPr>
            <w:r>
              <w:rPr>
                <w:rFonts w:ascii="Times New Roman" w:cs="Times New Roman" w:eastAsia="Times New Roman" w:hAnsi="Times New Roman"/>
                <w:sz w:val="18"/>
                <w:szCs w:val="18"/>
                <w:b w:val="1"/>
                <w:bCs w:val="1"/>
                <w:color w:val="auto"/>
              </w:rPr>
              <w:t>Cantor</w:t>
            </w:r>
          </w:p>
        </w:tc>
        <w:tc>
          <w:tcPr>
            <w:tcW w:w="22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LifeSci Capital</w:t>
            </w:r>
          </w:p>
        </w:tc>
      </w:tr>
      <w:tr>
        <w:trPr>
          <w:trHeight w:val="432"/>
        </w:trPr>
        <w:tc>
          <w:tcPr>
            <w:tcW w:w="2700" w:type="dxa"/>
            <w:vAlign w:val="bottom"/>
          </w:tcPr>
          <w:p>
            <w:pPr>
              <w:spacing w:after="0"/>
              <w:rPr>
                <w:sz w:val="24"/>
                <w:szCs w:val="24"/>
                <w:color w:val="auto"/>
              </w:rPr>
            </w:pPr>
          </w:p>
        </w:tc>
        <w:tc>
          <w:tcPr>
            <w:tcW w:w="40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w:t>
            </w:r>
          </w:p>
        </w:tc>
        <w:tc>
          <w:tcPr>
            <w:tcW w:w="232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 2026</w:t>
            </w:r>
          </w:p>
        </w:tc>
        <w:tc>
          <w:tcPr>
            <w:tcW w:w="2200" w:type="dxa"/>
            <w:vAlign w:val="bottom"/>
          </w:tcPr>
          <w:p>
            <w:pPr>
              <w:spacing w:after="0"/>
              <w:rPr>
                <w:sz w:val="24"/>
                <w:szCs w:val="24"/>
                <w:color w:val="auto"/>
              </w:rPr>
            </w:pPr>
          </w:p>
        </w:tc>
      </w:tr>
      <w:tr>
        <w:trPr>
          <w:trHeight w:val="682"/>
        </w:trPr>
        <w:tc>
          <w:tcPr>
            <w:tcW w:w="2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636"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7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7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5"/>
        </w:trPr>
        <w:tc>
          <w:tcPr>
            <w:tcW w:w="344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100" w:type="dxa"/>
            <w:vAlign w:val="bottom"/>
            <w:tcBorders>
              <w:top w:val="single" w:sz="8" w:color="CCEEFF"/>
            </w:tcBorders>
            <w:gridSpan w:val="7"/>
          </w:tcPr>
          <w:p>
            <w:pPr>
              <w:spacing w:after="0"/>
              <w:rPr>
                <w:sz w:val="15"/>
                <w:szCs w:val="15"/>
                <w:color w:val="auto"/>
              </w:rPr>
            </w:pPr>
          </w:p>
        </w:tc>
        <w:tc>
          <w:tcPr>
            <w:tcW w:w="2700" w:type="dxa"/>
            <w:vAlign w:val="bottom"/>
            <w:tcBorders>
              <w:top w:val="single" w:sz="8" w:color="CCEEFF"/>
            </w:tcBorders>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260" w:type="dxa"/>
            <w:vAlign w:val="bottom"/>
            <w:tcBorders>
              <w:top w:val="single" w:sz="8" w:color="CCEEFF"/>
            </w:tcBorders>
            <w:gridSpan w:val="19"/>
          </w:tcPr>
          <w:p>
            <w:pPr>
              <w:spacing w:after="0"/>
              <w:rPr>
                <w:sz w:val="15"/>
                <w:szCs w:val="15"/>
                <w:color w:val="auto"/>
              </w:rPr>
            </w:pPr>
          </w:p>
        </w:tc>
        <w:tc>
          <w:tcPr>
            <w:tcW w:w="2700" w:type="dxa"/>
            <w:vAlign w:val="bottom"/>
            <w:tcBorders>
              <w:top w:val="single" w:sz="8" w:color="CCEEFF"/>
            </w:tcBorders>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175"/>
        </w:trPr>
        <w:tc>
          <w:tcPr>
            <w:tcW w:w="534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200" w:type="dxa"/>
            <w:vAlign w:val="bottom"/>
            <w:tcBorders>
              <w:top w:val="single" w:sz="8" w:color="CCEEFF"/>
            </w:tcBorders>
            <w:gridSpan w:val="2"/>
          </w:tcPr>
          <w:p>
            <w:pPr>
              <w:spacing w:after="0"/>
              <w:rPr>
                <w:sz w:val="15"/>
                <w:szCs w:val="15"/>
                <w:color w:val="auto"/>
              </w:rPr>
            </w:pPr>
          </w:p>
        </w:tc>
        <w:tc>
          <w:tcPr>
            <w:tcW w:w="270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5"/>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 FEDERAL INCOME TAX CONSIDERATIONS</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4360" w:type="dxa"/>
            <w:vAlign w:val="bottom"/>
            <w:tcBorders>
              <w:bottom w:val="single" w:sz="8" w:color="CCEEFF"/>
            </w:tcBorders>
            <w:gridSpan w:val="4"/>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176"/>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S-26</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080" w:type="dxa"/>
            <w:vAlign w:val="bottom"/>
            <w:tcBorders>
              <w:top w:val="single" w:sz="8" w:color="CCEEFF"/>
            </w:tcBorders>
            <w:gridSpan w:val="17"/>
          </w:tcPr>
          <w:p>
            <w:pPr>
              <w:spacing w:after="0"/>
              <w:rPr>
                <w:sz w:val="15"/>
                <w:szCs w:val="15"/>
                <w:color w:val="auto"/>
              </w:rPr>
            </w:pPr>
          </w:p>
        </w:tc>
        <w:tc>
          <w:tcPr>
            <w:tcW w:w="270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S-26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5"/>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S-27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S-28</w:t>
            </w: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360" w:type="dxa"/>
            <w:vAlign w:val="bottom"/>
            <w:gridSpan w:val="3"/>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700" w:type="dxa"/>
            <w:vAlign w:val="bottom"/>
          </w:tcPr>
          <w:p>
            <w:pPr>
              <w:spacing w:after="0"/>
              <w:rPr>
                <w:sz w:val="24"/>
                <w:szCs w:val="24"/>
                <w:color w:val="auto"/>
              </w:rPr>
            </w:pPr>
          </w:p>
        </w:tc>
      </w:tr>
      <w:tr>
        <w:trPr>
          <w:trHeight w:val="216"/>
        </w:trPr>
        <w:tc>
          <w:tcPr>
            <w:tcW w:w="1280" w:type="dxa"/>
            <w:vAlign w:val="bottom"/>
            <w:gridSpan w:val="4"/>
          </w:tcPr>
          <w:p>
            <w:pPr>
              <w:spacing w:after="0"/>
              <w:rPr>
                <w:sz w:val="18"/>
                <w:szCs w:val="18"/>
                <w:color w:val="auto"/>
              </w:rPr>
            </w:pPr>
          </w:p>
        </w:tc>
        <w:tc>
          <w:tcPr>
            <w:tcW w:w="74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gridSpan w:val="8"/>
          </w:tcPr>
          <w:p>
            <w:pPr>
              <w:spacing w:after="0"/>
              <w:rPr>
                <w:sz w:val="18"/>
                <w:szCs w:val="18"/>
                <w:color w:val="auto"/>
              </w:rPr>
            </w:pPr>
          </w:p>
        </w:tc>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00" w:type="dxa"/>
            <w:vAlign w:val="bottom"/>
            <w:tcBorders>
              <w:bottom w:val="single" w:sz="8" w:color="CCEEFF"/>
            </w:tcBorders>
            <w:gridSpan w:val="12"/>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260" w:type="dxa"/>
            <w:vAlign w:val="bottom"/>
            <w:tcBorders>
              <w:top w:val="single" w:sz="8" w:color="CCEEFF"/>
            </w:tcBorders>
            <w:gridSpan w:val="19"/>
          </w:tcPr>
          <w:p>
            <w:pPr>
              <w:spacing w:after="0"/>
              <w:rPr>
                <w:sz w:val="15"/>
                <w:szCs w:val="15"/>
                <w:color w:val="auto"/>
              </w:rPr>
            </w:pPr>
          </w:p>
        </w:tc>
        <w:tc>
          <w:tcPr>
            <w:tcW w:w="2700" w:type="dxa"/>
            <w:vAlign w:val="bottom"/>
            <w:tcBorders>
              <w:top w:val="single" w:sz="8" w:color="CCEEFF"/>
            </w:tcBorders>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SECURITIES WE MAY OFFER</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5"/>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SHARES</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248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060" w:type="dxa"/>
            <w:vAlign w:val="bottom"/>
            <w:tcBorders>
              <w:top w:val="single" w:sz="8" w:color="CCEEFF"/>
            </w:tcBorders>
            <w:gridSpan w:val="10"/>
          </w:tcPr>
          <w:p>
            <w:pPr>
              <w:spacing w:after="0"/>
              <w:rPr>
                <w:sz w:val="15"/>
                <w:szCs w:val="15"/>
                <w:color w:val="auto"/>
              </w:rPr>
            </w:pPr>
          </w:p>
        </w:tc>
        <w:tc>
          <w:tcPr>
            <w:tcW w:w="270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480" w:type="dxa"/>
            <w:vAlign w:val="bottom"/>
            <w:tcBorders>
              <w:bottom w:val="single" w:sz="8" w:color="CCEEFF"/>
            </w:tcBorders>
            <w:gridSpan w:val="14"/>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760" w:type="dxa"/>
            <w:vAlign w:val="bottom"/>
            <w:tcBorders>
              <w:bottom w:val="single" w:sz="8" w:color="CCEEFF"/>
            </w:tcBorders>
            <w:gridSpan w:val="22"/>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responsible for the information contained and incorporated by reference in this prospectus supplement, the accompanying prospectus and in any free writing prospectus that we have authorized for use in connection with this offering. We and the underwriters have not authorized anyone to give you any other information, and we and the underwriters take no responsibility for any other information that others may give you. We and the underwriters are not making offers to sell the securities in any jurisdiction in which an offer or solicitation is not authorized or permitted or in which the person making such offer or solicitation is not qualified to do so or to anyone to whom it is unlawful to make an offer or solicitation. The information contained and incorporated by reference in this prospectus supplement, the accompanying prospectus and any free writing prospectus that we and the underwriters have authorized for use in connection with this offering speaks only as of the date of this document, unless the information specifically indicates that another date applies. Neither the delivery of this prospectus supplement, the accompanying prospectus or any free writing prospectus that we and the underwriters have authorized for use in connection with this offering, nor any sale of securities made under these documents, will, under any circumstances, create any implication that there has been no change in our affairs since the date of this prospectus supplement, the accompanying prospectus or any free writing prospectus that we and the underwriters have authorized for use in connection with this offering, nor that the information contained or incorporated by reference is correct as of any time subsequent to the date of such information. You should assume that the information contained and incorporated by reference in this prospectus supplement, the accompanying prospectus and in any free writing prospectus that we and the underwriters have authorized for use in connection with this offering is accurate only as of the date of the documents containing the information, unless the information specifically indicates that another date applies. Our business, financial condition, results of operations and prospects may have changed since those dates.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offering of our securities and form part of a registration statement on Form S-3 that we filed with the U.S. Securities and Exchange Commission (the “SEC”) using a “shelf” registration process. Before buying any of the securities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 Unless the context otherwise requires, references to “MoonLake,” “we,” “us,” “our,” “our Company,” “the Company” and “our business” refer to MoonLake Immunotherapeutics and its consolidated subsidiaries.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our securities and also adds to and updates information contained in the documents incorporated by reference into this prospectus. Generally, when we refer to this prospectus, we are referring to both this prospectus supplement and the accompanying prospectus. To the extent the information contained in this prospectus supplement differs from or conflicts with the information contained in the accompanying prospectus or any document incorporated by reference, the information in this prospectus supplement will control.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596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6596380"/>
                    </a:xfrm>
                    <a:prstGeom prst="rect">
                      <a:avLst/>
                    </a:prstGeom>
                    <a:noFill/>
                  </pic:spPr>
                </pic:pic>
              </a:graphicData>
            </a:graphic>
          </wp:anchor>
        </w:drawing>
        <w:t>PROSPECTUS SUPPLEMENT SUMMARY</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securities. For a more complete understanding of our company and this offering, we encourage you to read and consider carefully the more detailed information in this prospectus supplement and the accompanying prospectus, including the information incorporated by reference into this prospectus supplement and the accompanying prospectus, including the information contained in and incorporated by reference under the heading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auto"/>
        </w:rPr>
        <w:t>” beginning on page S-4 of this prospectus supplement, and under similar headings in the other documents that are filed after the date hereof and incorporated by reference into this prospectus supplement and the accompanying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a clinical stage biotechnology company advancing therapies to address significant unmet needs in inflammatory skin and joint diseases. We are currently a single asset company focused on the development of Sonelokimab (“SLK”), a novel tri-specific IL-17A and IL-17F inhibiting Nanobody, that we exclusively licensed from Merck Healthcare KGaA, Darmstadt, Germany (“MHKDG”) and that has the potential, based on response levels seen in clinical trials, to drive disease modification in dermatology and rheumatology patients.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SLK is a proprietary Nanobody that was discovered by Ablynx N.V., Belgium, a Sanofi company (“Ablynx”), and previously studied by MHKDG and Avillion LLP under a 2017 co-development agreement. The terms “Nanobody” and “Nanobodies” used herein are registered trademarks of Ablynx. Nanobodies are able to bind selectively to a specific antigen with high affinity. Nanobodies have a fraction of the molecular weight compared to traditional antibodies. They offer a number of potential advantages over traditional monoclonal antibodies, including the potential to create multivalent molecules with enhanced ability to penetrate inflamed tissue, especially when containing an additional albumin binding domain such as SLK, an easier manufacturing process and a higher thermostability.</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currently develop SLK in inflammatory diseases in dermatology and rheumatology where the pathophysiology is known to be driven by IL-17A and IL-17F. This group of diseases comprises our current target diseases, hidradenitis suppurativa (“HS”), psoriatic arthritis (“PsA”), axial spondyloarthritis (“axSpA”), palmoplantar pustulosis (“PPP”), and several other inflammatory conditions, including psoriasis (“PsO”). Our current target diseases affect millions of people worldwide, and we believe there is a need for improved treatment options. We believe that SLK has a differentiated mechanism of action and that its purposefully designed molecular characteristics, including its small size and its albumin binding site, facilitate deep tissue penetration in the skin and joints. We envision SLK as a key therapeutic alternative in our initial target indications and potentially in multiple other IL-17 driven inflammatory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from the Phase 3 VELA clinical trials at Week 52</w:t>
      </w:r>
    </w:p>
    <w:p>
      <w:pPr>
        <w:spacing w:after="0" w:line="227"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Week 52 data for SLK showed consistent and further improvement in all clinical scores, compared to Week 16 data. Across both VELA-1 and VELA-2, 67.2% of patients treated with SLK achieved Hidradenitis Suppurativa Clinical Response (“HiSCR”) 75 and 33.1% of patients achieved HiSCR100 at Week 52 (n=396). The results were consistent across both trials (VELA-1: 68.3% HiSCR75, 31.2% HiSCR100; VELA-2: 66.0% HiSCR75, 35.1% HiSCR100). At Week 52, 26.0% of patients (n=396) achieved an International Hidradenitis Suppurativa Severity Score System (“IHS4”)-100 response (VELA-1: 24.4%, VELA-2: 27.7%), reflecting inflammatory remission, defined as a 100% reduction in abscesses (A100), nodules (N100) and draining tunnels (DT100). The long-term results of the VELA program are higher than in previous Phase 3 HS programs with competing agents (using the same pooled, as observed, end of parental trial data analysis). Relative to the competitor IL-17-A &amp; F inhibitor monoclonal antibody, the SLK Nanobody®, for example, showed responses with over ~10% more responding patients for HiSCR75, HiSCR100 or IHS4-100.</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60" w:top="1022" w:right="499" w:bottom="1440" w:gutter="0" w:footer="0" w:header="0"/>
        </w:sectPr>
      </w:pPr>
    </w:p>
    <w:bookmarkStart w:id="4" w:name="page5"/>
    <w:bookmarkEnd w:id="4"/>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007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7007860"/>
                    </a:xfrm>
                    <a:prstGeom prst="rect">
                      <a:avLst/>
                    </a:prstGeom>
                    <a:noFill/>
                  </pic:spPr>
                </pic:pic>
              </a:graphicData>
            </a:graphic>
          </wp:anchor>
        </w:drawing>
        <w:t>The strong long-term clinical responses observed with SLK were accompanied by sustained improvements in Patient-Reported Outcomes, which are considered to matter most to patients living with HS and their treating physicians. Patients treated with SLK consistently showed the largest reductions in the HS-specific Quality of Life score (“HiSQOL”) at Week 52, with a -15.3 mean score difference between end of trial and baseline in VELA-1, and -14.8 in VELA-2 (as observed, n=395). The broader skin Dermatology Life Quality Index (“DLQI”) score confirmed the HiSQOL results and showed clinically meaningful response (≥4-point improvement from baseline) in 75.0% (VELA-1) and 69.4% (VELA-2) of patients (as observed, in patients with baseline DLQI ≥4, n=363). Responses for both these quality of life metrics were higher than previously demonstrated in competitor pivotal HS studies. In line with these data, 46.5% of patients experienced a marked reduction in pain, measured as at least a 3-point reduction from baseline in the worst skin pain Numerical Rating Scale (VELA-1: 48.4%, VELA-2: 44.3%; as observed, in patients with baseline worst skin pain score of ≥3, n=241).</w:t>
      </w:r>
    </w:p>
    <w:p>
      <w:pPr>
        <w:spacing w:after="0" w:line="18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These findings demonstrate leading and durable improvements across outcomes of key relevance for patients, including quality of life, pain and long-term disease control.</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Responses seen in patients crossing over from placebo (switch to SLK at Week 16) confirm and validate these findings. After 4 Weeks of SLK treatment, HiSCR75 rates increased by ~20 percentage points across both studies. At the end of the VELA program (i.e., after 36 weeks of SLK treatment), cross-over patients (“Placebo-to-SLK”) showed HiSCR75 rates similar to those observed after 36 weeks of treatment in the “SLK-to-SLK” arms (~60%, as observed).</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high acceptance rate and good tolerability of SLK across the VELA program was confirmed by the rate of patients rolling over into the VELA-OLE (two-year open-label extension) following the parental trials (~90% across all arms) further validating the convenience of the 120mg Q4W (once every four weeks) dosing regimen.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Week 24 data from the Phase 3 VELA-TEEN trial</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Furthermore, data from the VELA TEEN clinical trial showed rapid onset and high response rates in adolescent patients with HS. Interim analysis of Week 24 data show that ~68% of patients treated with SLK achieved HiSCR75, alongside ~86% achieving HiSCR50 and ~45% achieving HiSCR100 (as observed, n=22). HiSCR75 rates in VELA-TEEN were higher than those observed in the adult VELA program at comparable timepoints, indicating a pronounced clinical response in adolescent patients with earlier stage disease. SLK was generally well tolerated in this vulnerable patient population, and no new safety signals were observed. These promising results highlight the relevance and opportunity of an early treatment of HS with the goal to slow down the progression to irreversible tissue damage.</w:t>
      </w:r>
    </w:p>
    <w:p>
      <w:pPr>
        <w:spacing w:after="0" w:line="18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safety profile of SLK in the VELA clinical programs including VELA-TEEN remains consistent over time, with no new safety signals detected.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We were originally incorporated on August 13, 2020 in the Cayman Islands as a special purpose acquisition company under the name Helix Acquisition Corp., and our subsidiary, MoonLake Immunotherapeutics AG, a Swiss stock corporation (Aktiengesellschaft) registered with the commercial register of the Canton of Zug, Switzerland under the number CHE-433.093.536 (“MoonLake AG”), was incorporated in Switzerland in 2021. On April 5, 2022, MoonLake Immunotherapeutics (formerly known as Helix Acquisition Corp.) consummated the business combination pursuant to that certain Business Combination Agreement dated October 4, 2021 (the “Business Combination Agreement”), by and among Helix Acquisition Corp., MoonLake AG, the existing equityholders of MoonLake AG set forth on the signature pages to the Business Combination Agreement and equityholders of MoonLake AG that executed joinders to the Business Combination Agreement (collectively, the “ML Parties”), Helix Holdings LLC, a Cayman Islands limited liability company and the sponsor of Helix Acquisition Corp. (the “Sponsor”), and the representative of the ML Parties (such transactions contemplated by the Business Combination Agreement, collectively, the “Business Combination”). In connection with the consummation of the Business Combination, we changed our name from Helix Acquisition Corp. to MoonLake Immunotherapeutics. Our principal executive office is located in Dorfstrasse 29, 6300, Zug, Switzerland. Our website address is www.moonlaketx.com. Information contained on or accessible through our website is not a part of this prospectus. We have included our website in this prospectus supplement solely as an inactive textual reference.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026"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3580" w:type="dxa"/>
            <w:vAlign w:val="bottom"/>
          </w:tcPr>
          <w:p>
            <w:pPr>
              <w:spacing w:after="0"/>
              <w:rPr>
                <w:sz w:val="20"/>
                <w:szCs w:val="20"/>
                <w:color w:val="auto"/>
              </w:rPr>
            </w:pP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offered by</w:t>
            </w:r>
          </w:p>
        </w:tc>
        <w:tc>
          <w:tcPr>
            <w:tcW w:w="4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Class A Ordinary Shares.</w:t>
            </w:r>
          </w:p>
        </w:tc>
        <w:tc>
          <w:tcPr>
            <w:tcW w:w="3580" w:type="dxa"/>
            <w:vAlign w:val="bottom"/>
          </w:tcPr>
          <w:p>
            <w:pPr>
              <w:spacing w:after="0"/>
              <w:rPr>
                <w:sz w:val="24"/>
                <w:szCs w:val="24"/>
                <w:color w:val="auto"/>
              </w:rPr>
            </w:pPr>
          </w:p>
        </w:tc>
      </w:tr>
      <w:tr>
        <w:trPr>
          <w:trHeight w:val="234"/>
        </w:trPr>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9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offered by us</w:t>
            </w: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We are also offering, in lieu of Class A Ordinary Shares to certain investors that so choose, pre-funded warrants</w:t>
            </w:r>
          </w:p>
        </w:tc>
      </w:tr>
      <w:tr>
        <w:trPr>
          <w:trHeight w:val="216"/>
        </w:trPr>
        <w:tc>
          <w:tcPr>
            <w:tcW w:w="2660" w:type="dxa"/>
            <w:vAlign w:val="bottom"/>
          </w:tcPr>
          <w:p>
            <w:pPr>
              <w:spacing w:after="0"/>
              <w:rPr>
                <w:sz w:val="18"/>
                <w:szCs w:val="18"/>
                <w:color w:val="auto"/>
              </w:rPr>
            </w:pPr>
          </w:p>
        </w:tc>
        <w:tc>
          <w:tcPr>
            <w:tcW w:w="1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purchase up to</w:t>
            </w:r>
          </w:p>
        </w:tc>
        <w:tc>
          <w:tcPr>
            <w:tcW w:w="6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Class A Ordinary Shares. The purchase price of each pre-funded warrant equals the</w:t>
            </w:r>
          </w:p>
        </w:tc>
      </w:tr>
      <w:tr>
        <w:trPr>
          <w:trHeight w:val="216"/>
        </w:trPr>
        <w:tc>
          <w:tcPr>
            <w:tcW w:w="2660" w:type="dxa"/>
            <w:vAlign w:val="bottom"/>
          </w:tcPr>
          <w:p>
            <w:pPr>
              <w:spacing w:after="0"/>
              <w:rPr>
                <w:sz w:val="18"/>
                <w:szCs w:val="18"/>
                <w:color w:val="auto"/>
              </w:rPr>
            </w:pP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price per share at which our Class A Ordinary Shares are being sold to the public in this offering, minus $0.0001,</w:t>
            </w:r>
          </w:p>
        </w:tc>
      </w:tr>
      <w:tr>
        <w:trPr>
          <w:trHeight w:val="216"/>
        </w:trPr>
        <w:tc>
          <w:tcPr>
            <w:tcW w:w="2660" w:type="dxa"/>
            <w:vAlign w:val="bottom"/>
          </w:tcPr>
          <w:p>
            <w:pPr>
              <w:spacing w:after="0"/>
              <w:rPr>
                <w:sz w:val="18"/>
                <w:szCs w:val="18"/>
                <w:color w:val="auto"/>
              </w:rPr>
            </w:pP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which is the exercise price of each pre-funded warrant per share. Each pre-funded warrant will be exercisable at</w:t>
            </w:r>
          </w:p>
        </w:tc>
      </w:tr>
      <w:tr>
        <w:trPr>
          <w:trHeight w:val="216"/>
        </w:trPr>
        <w:tc>
          <w:tcPr>
            <w:tcW w:w="2660" w:type="dxa"/>
            <w:vAlign w:val="bottom"/>
          </w:tcPr>
          <w:p>
            <w:pPr>
              <w:spacing w:after="0"/>
              <w:rPr>
                <w:sz w:val="18"/>
                <w:szCs w:val="18"/>
                <w:color w:val="auto"/>
              </w:rPr>
            </w:pP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any time after the date of issuance of such pre-funded warrant, subject to an ownership limitation. See</w:t>
            </w:r>
          </w:p>
        </w:tc>
      </w:tr>
      <w:tr>
        <w:trPr>
          <w:trHeight w:val="216"/>
        </w:trPr>
        <w:tc>
          <w:tcPr>
            <w:tcW w:w="2660" w:type="dxa"/>
            <w:vAlign w:val="bottom"/>
          </w:tcPr>
          <w:p>
            <w:pPr>
              <w:spacing w:after="0"/>
              <w:rPr>
                <w:sz w:val="18"/>
                <w:szCs w:val="18"/>
                <w:color w:val="auto"/>
              </w:rPr>
            </w:pP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“Description of Securities We Are Offering” on page S-18 of this prospectus supplement. This prospectus</w:t>
            </w:r>
          </w:p>
        </w:tc>
      </w:tr>
      <w:tr>
        <w:trPr>
          <w:trHeight w:val="216"/>
        </w:trPr>
        <w:tc>
          <w:tcPr>
            <w:tcW w:w="2660" w:type="dxa"/>
            <w:vAlign w:val="bottom"/>
          </w:tcPr>
          <w:p>
            <w:pPr>
              <w:spacing w:after="0"/>
              <w:rPr>
                <w:sz w:val="18"/>
                <w:szCs w:val="18"/>
                <w:color w:val="auto"/>
              </w:rPr>
            </w:pP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supplement also relates to the offering of the Class A Ordinary Shares issuable upon exercise of the pre-funded</w:t>
            </w:r>
          </w:p>
        </w:tc>
      </w:tr>
      <w:tr>
        <w:trPr>
          <w:trHeight w:val="234"/>
        </w:trPr>
        <w:tc>
          <w:tcPr>
            <w:tcW w:w="2660" w:type="dxa"/>
            <w:vAlign w:val="bottom"/>
          </w:tcPr>
          <w:p>
            <w:pPr>
              <w:spacing w:after="0"/>
              <w:rPr>
                <w:sz w:val="20"/>
                <w:szCs w:val="20"/>
                <w:color w:val="auto"/>
              </w:rPr>
            </w:pPr>
          </w:p>
        </w:tc>
        <w:tc>
          <w:tcPr>
            <w:tcW w:w="1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27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Option to purchase additional Class AThe underwriters have a 30-day option to purchase up to</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additional Class A Ordinary Shares from us at</w:t>
            </w:r>
          </w:p>
        </w:tc>
      </w:tr>
      <w:tr>
        <w:trPr>
          <w:trHeight w:val="234"/>
        </w:trPr>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Ordinary Shares</w:t>
            </w: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public offering price less the underwriting discounts and commissions.</w:t>
            </w: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to be</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shares (or</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if the underwriters exercise in full their option to purchase additional Class A</w:t>
            </w:r>
          </w:p>
        </w:tc>
      </w:tr>
      <w:tr>
        <w:trPr>
          <w:trHeight w:val="234"/>
        </w:trPr>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after this offering</w:t>
            </w: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Ordinary Shares), excluding Class A Ordinary Shares issuable upon exercise of the pre-funded warrants.</w:t>
            </w: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w:t>
            </w:r>
          </w:p>
        </w:tc>
      </w:tr>
      <w:tr>
        <w:trPr>
          <w:trHeight w:val="216"/>
        </w:trPr>
        <w:tc>
          <w:tcPr>
            <w:tcW w:w="2660" w:type="dxa"/>
            <w:vAlign w:val="bottom"/>
          </w:tcPr>
          <w:p>
            <w:pPr>
              <w:spacing w:after="0"/>
              <w:rPr>
                <w:sz w:val="18"/>
                <w:szCs w:val="18"/>
                <w:color w:val="auto"/>
              </w:rPr>
            </w:pP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marketable securities, to fund the research, development, pre-commercialization activities and commercialization</w:t>
            </w:r>
          </w:p>
        </w:tc>
      </w:tr>
      <w:tr>
        <w:trPr>
          <w:trHeight w:val="216"/>
        </w:trPr>
        <w:tc>
          <w:tcPr>
            <w:tcW w:w="2660" w:type="dxa"/>
            <w:vAlign w:val="bottom"/>
          </w:tcPr>
          <w:p>
            <w:pPr>
              <w:spacing w:after="0"/>
              <w:rPr>
                <w:sz w:val="18"/>
                <w:szCs w:val="18"/>
                <w:color w:val="auto"/>
              </w:rPr>
            </w:pP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activities of SLK, if approved, and for general corporate purposes. See “Use of Proceeds” on page S-10 of this</w:t>
            </w:r>
          </w:p>
        </w:tc>
      </w:tr>
      <w:tr>
        <w:trPr>
          <w:trHeight w:val="234"/>
        </w:trPr>
        <w:tc>
          <w:tcPr>
            <w:tcW w:w="2660" w:type="dxa"/>
            <w:vAlign w:val="bottom"/>
          </w:tcPr>
          <w:p>
            <w:pPr>
              <w:spacing w:after="0"/>
              <w:rPr>
                <w:sz w:val="20"/>
                <w:szCs w:val="20"/>
                <w:color w:val="auto"/>
              </w:rPr>
            </w:pPr>
          </w:p>
        </w:tc>
        <w:tc>
          <w:tcPr>
            <w:tcW w:w="1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prospectus supplement.</w:t>
            </w:r>
          </w:p>
        </w:tc>
        <w:tc>
          <w:tcPr>
            <w:tcW w:w="27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Investing in our Class A Ordinary Shares and pre-funded warrants involves a high degree of risk. See the</w:t>
            </w:r>
          </w:p>
        </w:tc>
      </w:tr>
      <w:tr>
        <w:trPr>
          <w:trHeight w:val="216"/>
        </w:trPr>
        <w:tc>
          <w:tcPr>
            <w:tcW w:w="2660" w:type="dxa"/>
            <w:vAlign w:val="bottom"/>
          </w:tcPr>
          <w:p>
            <w:pPr>
              <w:spacing w:after="0"/>
              <w:rPr>
                <w:sz w:val="18"/>
                <w:szCs w:val="18"/>
                <w:color w:val="auto"/>
              </w:rPr>
            </w:pP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information contained in or incorporated by reference under the heading “Risk Factors” on page S-4 of this</w:t>
            </w:r>
          </w:p>
        </w:tc>
      </w:tr>
      <w:tr>
        <w:trPr>
          <w:trHeight w:val="216"/>
        </w:trPr>
        <w:tc>
          <w:tcPr>
            <w:tcW w:w="2660" w:type="dxa"/>
            <w:vAlign w:val="bottom"/>
          </w:tcPr>
          <w:p>
            <w:pPr>
              <w:spacing w:after="0"/>
              <w:rPr>
                <w:sz w:val="18"/>
                <w:szCs w:val="18"/>
                <w:color w:val="auto"/>
              </w:rPr>
            </w:pP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prospectus supplement, in the accompanying prospectus and in the documents incorporated by reference into this</w:t>
            </w:r>
          </w:p>
        </w:tc>
      </w:tr>
      <w:tr>
        <w:trPr>
          <w:trHeight w:val="234"/>
        </w:trPr>
        <w:tc>
          <w:tcPr>
            <w:tcW w:w="2660" w:type="dxa"/>
            <w:vAlign w:val="bottom"/>
          </w:tcPr>
          <w:p>
            <w:pPr>
              <w:spacing w:after="0"/>
              <w:rPr>
                <w:sz w:val="20"/>
                <w:szCs w:val="20"/>
                <w:color w:val="auto"/>
              </w:rPr>
            </w:pPr>
          </w:p>
        </w:tc>
        <w:tc>
          <w:tcPr>
            <w:tcW w:w="1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prospectus supplement.</w:t>
            </w:r>
          </w:p>
        </w:tc>
        <w:tc>
          <w:tcPr>
            <w:tcW w:w="27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8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“MLTX.” We do not intend to apply for listing of the pre-funded warrants on the Nasdaq Capital Market or any</w:t>
            </w:r>
          </w:p>
        </w:tc>
      </w:tr>
      <w:tr>
        <w:trPr>
          <w:trHeight w:val="234"/>
        </w:trPr>
        <w:tc>
          <w:tcPr>
            <w:tcW w:w="2660" w:type="dxa"/>
            <w:vAlign w:val="bottom"/>
          </w:tcPr>
          <w:p>
            <w:pPr>
              <w:spacing w:after="0"/>
              <w:rPr>
                <w:sz w:val="20"/>
                <w:szCs w:val="20"/>
                <w:color w:val="auto"/>
              </w:rPr>
            </w:pPr>
          </w:p>
        </w:tc>
        <w:tc>
          <w:tcPr>
            <w:tcW w:w="4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 exchange or nationally recognized trading system.</w:t>
            </w:r>
          </w:p>
        </w:tc>
        <w:tc>
          <w:tcPr>
            <w:tcW w:w="358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105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8105140"/>
                    </a:xfrm>
                    <a:prstGeom prst="rect">
                      <a:avLst/>
                    </a:prstGeom>
                    <a:noFill/>
                  </pic:spPr>
                </pic:pic>
              </a:graphicData>
            </a:graphic>
          </wp:anchor>
        </w:drawing>
      </w: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number of Class A Ordinary Shares that will be outstanding after this offering is based on 72,134,066 Class A Ordinary Shares outstanding as of March 31, 2026 and excludes:</w:t>
      </w:r>
    </w:p>
    <w:p>
      <w:pPr>
        <w:spacing w:after="0" w:line="162" w:lineRule="exact"/>
        <w:rPr>
          <w:sz w:val="20"/>
          <w:szCs w:val="20"/>
          <w:color w:val="auto"/>
        </w:rPr>
      </w:pPr>
    </w:p>
    <w:p>
      <w:pPr>
        <w:jc w:val="both"/>
        <w:ind w:left="640" w:right="200" w:hanging="324"/>
        <w:spacing w:after="0" w:line="312" w:lineRule="auto"/>
        <w:tabs>
          <w:tab w:leader="none" w:pos="6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2,524,668 Class A Ordinary Shares subject to stock options granted under the Amended and Restated MoonLake Immunotherapeutics 2022 Equity Incentive Plan (as so amended, the “Incentive Plan”) at a weighted-average exercise price of $14.80 per share as of March 31, 2026;</w:t>
      </w:r>
    </w:p>
    <w:p>
      <w:pPr>
        <w:spacing w:after="0" w:line="139" w:lineRule="exact"/>
        <w:rPr>
          <w:rFonts w:ascii="Times New Roman" w:cs="Times New Roman" w:eastAsia="Times New Roman" w:hAnsi="Times New Roman"/>
          <w:sz w:val="17"/>
          <w:szCs w:val="17"/>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1,044,534 Class A Ordinary Shares reserved for future equity award grants under the Incentive Plan as of March 31, 2026;</w:t>
      </w:r>
    </w:p>
    <w:p>
      <w:pPr>
        <w:spacing w:after="0" w:line="225" w:lineRule="exact"/>
        <w:rPr>
          <w:rFonts w:ascii="Times New Roman" w:cs="Times New Roman" w:eastAsia="Times New Roman" w:hAnsi="Times New Roman"/>
          <w:sz w:val="18"/>
          <w:szCs w:val="18"/>
          <w:color w:val="auto"/>
        </w:rPr>
      </w:pPr>
    </w:p>
    <w:p>
      <w:pPr>
        <w:jc w:val="both"/>
        <w:ind w:left="640" w:right="240" w:hanging="324"/>
        <w:spacing w:after="0" w:line="312" w:lineRule="auto"/>
        <w:tabs>
          <w:tab w:leader="none" w:pos="6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5,000,000 additional Class A Ordinary Shares reserved for future equity award grants under the Incentive Plan, which was approved by the Company’s shareholders at the 2026 Annual General Meeting of Shareholders (the “Annual Meeting”) held subsequent to March 31, 2026;</w:t>
      </w:r>
    </w:p>
    <w:p>
      <w:pPr>
        <w:spacing w:after="0" w:line="139" w:lineRule="exact"/>
        <w:rPr>
          <w:rFonts w:ascii="Times New Roman" w:cs="Times New Roman" w:eastAsia="Times New Roman" w:hAnsi="Times New Roman"/>
          <w:sz w:val="17"/>
          <w:szCs w:val="17"/>
          <w:color w:val="auto"/>
        </w:rPr>
      </w:pPr>
    </w:p>
    <w:p>
      <w:pPr>
        <w:ind w:left="640" w:right="80" w:hanging="324"/>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2,427,619 Class A Ordinary Shares issued under our sales agreement with Leerink Partners LLC (“Leerink Partners”), dated as of August 31, 2023 (the “Sales Agreement”), subsequent to March 31, 2026; and</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up to $219.5 million of Class A Ordinary Shares remaining for future sales under the Sales Agreement.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Except as otherwise indicated, the information in this prospectus supplement does not assume or give effect to:</w:t>
      </w:r>
    </w:p>
    <w:p>
      <w:pPr>
        <w:spacing w:after="0" w:line="225" w:lineRule="exact"/>
        <w:rPr>
          <w:sz w:val="20"/>
          <w:szCs w:val="20"/>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options outstanding as of March 31, 2026;</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the pre-funded warrants offered and sold in this offering; or</w:t>
      </w:r>
    </w:p>
    <w:p>
      <w:pPr>
        <w:spacing w:after="0" w:line="225" w:lineRule="exact"/>
        <w:rPr>
          <w:sz w:val="20"/>
          <w:szCs w:val="20"/>
          <w:color w:val="auto"/>
        </w:rPr>
      </w:pPr>
    </w:p>
    <w:p>
      <w:pPr>
        <w:ind w:left="320"/>
        <w:spacing w:after="0"/>
        <w:tabs>
          <w:tab w:leader="none" w:pos="620" w:val="left"/>
          <w:tab w:leader="none" w:pos="6040" w:val="left"/>
        </w:tabs>
        <w:rPr>
          <w:sz w:val="20"/>
          <w:szCs w:val="20"/>
          <w:color w:val="auto"/>
        </w:rPr>
      </w:pPr>
      <w:r>
        <w:rPr>
          <w:rFonts w:ascii="Times New Roman" w:cs="Times New Roman" w:eastAsia="Times New Roman" w:hAnsi="Times New Roman"/>
          <w:sz w:val="18"/>
          <w:szCs w:val="18"/>
          <w:color w:val="auto"/>
        </w:rPr>
        <w:t>●</w:t>
        <w:tab/>
        <w:t>any exercise by the underwriters of their option to purchase up to</w:t>
      </w:r>
      <w:r>
        <w:rPr>
          <w:sz w:val="20"/>
          <w:szCs w:val="20"/>
          <w:color w:val="auto"/>
        </w:rPr>
        <w:tab/>
      </w:r>
      <w:r>
        <w:rPr>
          <w:rFonts w:ascii="Times New Roman" w:cs="Times New Roman" w:eastAsia="Times New Roman" w:hAnsi="Times New Roman"/>
          <w:sz w:val="17"/>
          <w:szCs w:val="17"/>
          <w:color w:val="auto"/>
        </w:rPr>
        <w:t>additional Class A Ordinary Shares from us in this offering.</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60" w:top="1022" w:right="5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making an investment decision, you should carefully consider the risks and other information we include or incorporate by reference in this prospectus supplement and the accompanying prospectus, and in any free writing prospectus that we have authorized for use in connection with this offering. In particular, you should consider the risk factors described under the heading “Risk Factors”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In addition to those risk factors, there may be additional risks and uncertainties which are not currently known to us or that we currently deem immaterial. Our business, financial condition or results of operations could be materially adversely affected by any of these risks. The occurrence of any of these risks might cause you to lose all or part of your investment in the offered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require substantial additional capital to finance our operations, which may not be available to us on acceptable terms, or at all. As a result, we may be forced to delay, limit or terminate the development and, if approved, commercialization of SLK, development of new product candidates or other operations.</w:t>
      </w:r>
    </w:p>
    <w:p>
      <w:pPr>
        <w:spacing w:after="0" w:line="17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operations have consumed significant amounts of cash since our inception. We expect our operating expenses to increase in connection with our ongoing activities, particularly as we expect to transition to a commercializing biopharmaceutical company with a first potential launch of SLK in 2027, if approved.</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expect the proceeds from this offering, together with our existing cash, cash equivalents and marketable securities, to be sufficient to . Clinical development involves a lengthy and expensive process with uncertain outcomes and is subject to risks described under the heading “Risk Factors” in our most recent Annual Report on Form 10-K and Quarterly Report on Form 10-Q for the quarter ended March 31, 2026, including that our preclinical studies or clinical trials may not be conducted as planned or completed on schedule and may not satisfy the requirements of the U.S. Food and Drug Administration (“FDA”), European Medicines Agency (“EMA”), or other comparable foreign regulatory authorities. If we are required to conduct additional preclinical studies or clinical trials of SLK beyond those that we currently contemplate, if we are delayed or unable to successfully complete clinical trials of SLK or other testing, or if the results of these trials or tests are not positive or are only modestly positive or if there are safety concerns, we may require additional funding. Moreover, we will require additional capital to commercialize SLK and to discover, develop, obtain regulatory approval and commercialize any future product candidates, as applicable. We do not have any committed external source of funds other than a loan and security agreement, dated March 31, 2025, as amended on February 20, 2026, by and among the Company, MoonLake AG, the lenders party thereto and Hercules Capital, Inc. and any sales that we may make pursuant to the Sales Agreement for our “at-the-market” offering facility and this offering. We expect to finance future cash needs through public or private equity, additional debt or product collaborations. Additional capital may not be available in sufficient amounts or on reasonable terms, if at all. The current market environment for small biotechnology companies, like us, and broader macroeconomic factors, including recent and potential future disruptions in access to bank deposits or lending commitments due to bank failures, may preclude us from successfully raising additional capital.</w:t>
      </w:r>
    </w:p>
    <w:p>
      <w:pPr>
        <w:spacing w:after="0" w:line="19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we do not raise additional capital, we may not be able to expand our operations or otherwise capitalize on our business opportunities, our business and financial condition will be negatively impacted and we may need to: significantly delay, scale back or discontinue research and discovery efforts and the development or commercialization of SLK or any other product candidates or cease operations altogether; seek strategic alliances for research and development programs when we otherwise would not, or at an earlier stage than we would otherwise desire or on terms less favorable than might otherwise be available; or relinquish, or license on unfavorable terms, our rights to technologies or SLK or any other product candidates that we otherwise would seek to develop or commercialize ourselves</w:t>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Class A Ordinary Shares in this offering, you will suffer immediate and substantial dilution in the book value per Class A Ordinary Share purchased in the offering.</w:t>
      </w:r>
    </w:p>
    <w:p>
      <w:pPr>
        <w:spacing w:after="0" w:line="159" w:lineRule="exact"/>
        <w:rPr>
          <w:sz w:val="20"/>
          <w:szCs w:val="20"/>
          <w:color w:val="auto"/>
        </w:rPr>
      </w:pPr>
    </w:p>
    <w:p>
      <w:pPr>
        <w:jc w:val="both"/>
        <w:ind w:right="40" w:firstLine="324"/>
        <w:spacing w:after="0" w:line="257" w:lineRule="auto"/>
        <w:rPr>
          <w:sz w:val="20"/>
          <w:szCs w:val="20"/>
          <w:color w:val="auto"/>
        </w:rPr>
      </w:pPr>
      <w:r>
        <w:rPr>
          <w:rFonts w:ascii="Times New Roman" w:cs="Times New Roman" w:eastAsia="Times New Roman" w:hAnsi="Times New Roman"/>
          <w:sz w:val="18"/>
          <w:szCs w:val="18"/>
          <w:color w:val="auto"/>
        </w:rPr>
        <w:t>The public offering price per share in this offering may exceed the net tangible book value per share of our Class A Ordinary Shares outstanding prior to this offering, in which case you may incur an immediate and substantial dilution in the net tangible book value of Class A Ordinary Shares you purchase in this offering or the Class A Ordinary Shares underlying the pre-funded warrants you purchase in this offering. After giving effect to the sale by us of</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Class A Ordinary Shares (or pre-funded warrants in lieu thereof) at the public offering price of $ per Class A Ordinary Share (or pre-funded warrant in lieu thereof), assuming no exercise of the pre-funded warrants and excluding any resulting accounting associated with the pre-funded warrants, and after deducting underwriting discounts and commissions and estimated offering expenses payable by us, you will experience immediate dilution of</w:t>
      </w:r>
    </w:p>
    <w:p>
      <w:pPr>
        <w:spacing w:after="0" w:line="1" w:lineRule="exact"/>
        <w:rPr>
          <w:sz w:val="20"/>
          <w:szCs w:val="20"/>
          <w:color w:val="auto"/>
        </w:rPr>
      </w:pPr>
    </w:p>
    <w:p>
      <w:pPr>
        <w:ind w:right="100" w:firstLine="8"/>
        <w:spacing w:after="0" w:line="253" w:lineRule="auto"/>
        <w:tabs>
          <w:tab w:leader="none" w:pos="7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representing the difference between the public offering price per share and our as adjusted net tangible book value per share as of March 31, 2026 after giving effect to this offering. The exercise of warrants, including the pre-funded warrants issued in this offering, the exercise of outstanding stock options may result in further dilution of your investment. See “Dilution” on page S-11 of this prospectus supplement for a more detailed discussion of the dilution you will incur in connection with this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issuances.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order to raise additional capital, we may at any time offer additional shares of our Class A Ordinary Shares or other securities convertible into or exchangeable for our Class A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Class A Ordinary Shares, or securities convertible or exchangeable into Class A Ordinary Shares, in future transactions may be higher or lower than the price per share paid by investors in this offering. In addition, as of March 31, 2026, there were (a) 2,524,668 Class A Ordinary Shares subject to stock options granted under the Incentive Plan at a weighted-average exercise price of $14.80 per share, (b) 1,044,534 Class A Ordinary Shares reserved for future equity award grants under the Incentive Plan, and (c) as of the date hereof, up to $219.5 million of Class A Ordinary Shares remaining for future sales under our Sales Agreement. Subsequent to March 31, 2026, (a) our shareholders approved an increase in the number of Class A Ordinary Shares available for stock-based awards under the Incentive Plan by 5,000,000 shares at the Annual Meeting, and (b) we sold 2,427,619 Class A Ordinary Shares pursuant to our Sales Agreement. To the extent shares have been issued or are issued under outstanding options at exercise prices lower than the price of our Class A Ordinary Shares or the Class A Ordinary Shares underlying the pre-funded warrants in this offering, you will incur further dilution.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these pre-funded warrants on any securities exchange or nationally recognized trading system, including the Nasdaq Capital Market. Without an active market, the liquidity of these pre-funded warrants will be limited.</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holders of Class A Ordinary Shares until such holders exercise their pre-funded warrants and acquire our Class A Ordinary Shares.</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Until holders of the pre-funded warrants acquire Class A Ordinary Shares upon exercise of such pre-funded warrants, the holders will have no rights with respect to the Class A Ordinary Shares underlying such pre-funded warrants, such as voting rights or the rights to receive dividends. Upon exercise of the pre-funded warrants, the holders will be entitled to exercise the rights of a shareholder only as to matters for which the record date occurs after the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significant additional funds or may not receive any additional funds upon the exercise of the pre-funded warrants being offered.</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certain limited circumstances, each pre-funded warrant may be exercised by way of a cashless exercise, meaning that the holder may not pay a cash purchase price upon exercise, but instead would receive upon such exercise the net number of Class A Ordinary Shares determined according to the formula set forth in the pre-funded warrant. Accordingly, we may not receive any additional funds upon the cashless exercise of the pre-funded warrants or if the pre-funded warrants altogether are not exercised at all. In addition, the pre-funded warrants have an exercise price of $0.0001 per Class A Ordinary Share, and as a result we will not receive significant additional funds upon their exercise even if not a cashless exercise.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Class A Ordinary Shares may not be permitted to exercise pre-funded warrants that they hold.</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Holders of the pre-funded warrants will not be entitled to exercise any portion of any pre-funded warrant which, upon giving effect to such exercise, would cause the aggregate number of Class A Ordinary Shares beneficially owned by the holder (together with its affiliates) to exceed 4.99% (or 9.99%) of the number of Class A Ordinary Shares outstanding immediately after giving effect to the exercise, as such percentage ownership is determined in accordance with the terms of the pre-funded warrants. Such percentage may be increased or decreased by the holder of the pre-funded warrants to any other percentage not in excess of 19.99% upon at least 61 days’ prior notice from the holder to us. As a result, you may not be able to exercise your pre-funded warrants for our Class A Ordinary Shares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8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Class A Ordinary Shares in the public markets, including any Class A Ordinary Shares issuable upon exercise of any pre-funded warrants, or the perception that such sales could occur, could depress the market price of our Class A Ordinary Shares and our ability to raise funds in future offerings.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Class A Ordinary Shares in the public markets, including sales of any Class A Ordinary Shares issuable upon exercise of any pre-funded warrants issued in this offering, or the perception that such sales could occur, could depress the market price of our Class A Ordinary Shares and impair our ability to raise capital through the sale of additional equity securities. We cannot predict the effect that future sales of our Class A Ordinary Shares would have on the market price of our Class A Ordinary Shares.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Future issuances of our Class A Ordinary Shares or our other equity or debt securities could further depress the market for our Class A Ordinary Shares. We expect to continue to incur significant expenses and increasing operating losses as we advance SLK and any future product candidates through clinical trials, seek regulatory approval for SLK and any future product candidates, expand our clinical, regulatory, quality, manufacturing and commercialization capabilities, protect our intellectual property, prepare for and, if approved, proceed to commercialization of SLK and any future product candidates, expand our general and administrative support functions, including hiring additional personnel, and general and administrative costs associated with our operations, and to satisfy our funding requirements, we may need to sell additional securities. The proceeds of this offering will not be sufficient to</w:t>
      </w:r>
    </w:p>
    <w:p>
      <w:pPr>
        <w:spacing w:after="0" w:line="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fund the Company beyond and we may need to sell additional securities to continue operating. The sale or the proposed sale of substantial amounts of our Class A Ordinary Shares, including the shares issuable upon exercise of any pre-funded warrants, or our other securities may adversely affect the market price of our Class A Ordinary Shares and our stock price may decline substantially. Our shareholders may experience substantial dilution and a reduction in the price that they are able to obtain upon sale of their shares. New securities issued may have greater rights, preferences or privileges than our existing Class A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Class A Ordinary Shares in the public could cause our stock price to fall.</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our existing shareholders, particularly our directors, executive officers and their respective affiliates, sell, or indicate an intention to sell, substantial amounts of our Class A Ordinary Shares in the public market after the lock-up period discussed in this prospectus supplement lapses, the market price of our Class A Ordinary Shares could decline. Our directors, executive officers and certain of their respective affiliates have entered into lock-up agreements with the underwriters in connection with this offering pursuant to which they have agreed with the underwriters not to offer, sell, dispose of or hedge any Class A Ordinary Shares or securities convertible into or exchangeable for Class A Ordinary Shares, subject to specified limited exceptions and extensions described elsewhere in this prospectus supplement, for a period of 45 days after the date of this prospectus supplement without the prior written consent of Leerink Partners. Other than any shares held by our directors, executive officers and certain of their respective affiliates subject to lock-up agreements with the underwriters, all of the outstanding Class A Ordinary Shares are currently freely tradable, and the shares to be sold in this offering and shares issuable upon exercise of any pre-funded warrants will be freely tradable, without restriction, in the public market following this offering. Leerink Partners may, in its sole discretion, permit our executive officers, directors and certain of their respective affiliates who are subject to these lock-up agreements to sell shares prior to the expiration of the lock-up agreements. Sales of a substantial number of shares upon expiration of the lock-up agreements, the perception that such sales may occur, or early release of these agreements, could cause our market price to fall or make it more difficult for you to sell your Class A Ordinary Shares at a time and price that you deem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including the net proceeds we receive in this offering, and may not use them effectively.</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management has broad discretion to use our cash and cash equivalents, including the net proceeds we receive in this offering, to fund our operations and could spend these funds in ways that do not improve our results of operations or enhance the value of our Class A Ordinary Shares, and you will not have the opportunity as part of your investment decision to assess whether the net proceeds are being used appropriately. The failure by our management to apply these funds effectively could result in financial losses that could have a material adverse effect on our business, cause the price of our Class A Ordinary Shares to decline and delay the development of our product candidates. You will not have the opportunity to influence our decisions on how to use our cash and cash equivalents, including the net proceeds from this offering. Pending their use to fund our operations, we may invest our cash and cash equivalents, including the net proceeds from this offering, in a manner that does not produce income or that loses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or “PFIC,” which could result in adverse U.S. federal income tax consequences to U.S. investors.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(or portion thereof) that is included in the holding period of a U.S. Holder (as defined in the section of this prospectus supplement captioned “U.S. Federal Income Tax Considerations”) of our Class A Ordinary Shares, the U.S. Holder may be subject to adverse U.S. federal income tax consequences and may be subject to additional reporting requirements.</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w:t>
      </w:r>
    </w:p>
    <w:p>
      <w:pPr>
        <w:ind w:right="20" w:firstLine="8"/>
        <w:spacing w:after="0" w:line="253"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 Cash generally is a passive asset for this purpose. Goodwill is an active asset under the PFIC rules to the extent attributable to activities that produce or are held for the production of active income.</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our case, our activities currently do not produce active income, and there can be no assurance that our activities will produce active income in the future. It is not entirely clear how the asset and income tests should apply to a company like us that has substantial operating losses and that currently generates only passive income. Without taking into account the value of our goodwill, more than 50% of our assets by value is passive, which would generally mean that we would be a PFIC. The goodwill of the Company (the value of which is based on the Company’s market capitalization) may be attributable to activities that will generate active income in the future and thus may be treated as an active asset, but, taking into account the significant decrease in the price of our Class A Ordinary Shares in 2025, we do not have goodwill for purposes of the asset test for a portion of the current taxable year and may not have goodwill for future taxable years. Additionally, because we hold, and expect to continue to hold, substantial amounts of cash (including cash from this offering), there is a significant risk that we will be or become a PFIC under the asset test due to our decreased market capitalization and the volatility of the price of our Class A Ordinary Shares. Moreover, as mentioned above, we may also qualify as a PFIC under the income test, since we have substantial operating losses and generate passive income.</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Additionally, even if we are not a PFIC for a particular taxable year, we could become a PFIC for future years based on changes in our assets or the value thereof, including the fluctuations in value of our goodwill as indicated by our market capitalization, and based on changes in our activities and income, particularly given the fact that it is not entirely clear how the asset and income tests should apply to our Company if we continue to incur operating losses and generate passive income in the future. Based upon our current and projected operations and the significant decrease in the value of our goodwill as indicated by our market capitalization, and since a company’s annual PFIC status can be determined only after the end of each taxable year, we cannot express a view as to whether we will be a PFIC for the current or any future taxable year.</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Therefore, U.S. investors should invest in our Class A Ordinary Shares only if they are willing to bear the U.S. federal income tax consequences of an investment in a PFIC.</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urge U.S. investors to consult their tax advisors regarding the possible application of the PFIC rules. For a more detailed explanation of the tax consequences of PFIC classification to U.S. Holders, see the section of this prospectus supplement captioned “U.S. Federal Income Tax Considerations— Passive Foreign Investment Company Rules.”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for purposes of federal securities laws. We intend such forward-looking statements to be covered by the safe harbor provisions for forward-looking statements contained in Section 27A of the Securities Act of 1933, as amended (the “Securities Act”), and Section 21E of the Exchange Act of 1934, as amended (the “Exchange Act”). All statements other than statements of historical fact contained in this prospectus supplement and the accompanying prospectus, including without limitation, statements regarding the following, are forward-looking statements: our future results of operations and financial position, our expectations regarding industry trends, the sufficiency of our cash and cash equivalents, anticipated sources and uses of cash, the anticipated investments in our business, our business strategy, expectations regarding our clinical programs and the plans and objectives of management for future operations and capital expenditures.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“might,” “possible,” or “continue” or the negative of these terms or other similar expressions. The forward-looking statements in this prospectus supplement and the accompanying prospectus are only predictions. We have based these forward-looking statements largely on our current expectations and projections about future events and financial trends that we believe may affect our business, financial condition and results of operations. Some of the information contained in this discussion and analysis or set forth elsewhere in this prospectus supplement and the accompanying prospectus contain forward-looking statements that reflect our plans and strategy for our business and related financing. Our actual results and the timing of events could differ materially from those anticipated in the forward-looking statements.</w:t>
      </w:r>
    </w:p>
    <w:p>
      <w:pPr>
        <w:spacing w:after="0" w:line="19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important risks, uncertainties and other factors that could cause actual results to differ materially from those in the forward-looking statements expressed or implied in this prospectus supplement and the accompanying prospectus. Such risks, uncertainties and other factors include, among others, the risks, uncertainties and factors set forth in “Risk Factors,” and the following risks, uncertainties and factors:</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our existing cash and the net proceeds from this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completion of this offering;</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impacts of raising additional capital, including dilution to our existing shareholders, restrictions on our operations or requirements that we relinquish rights to our technologies or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and</w:t>
      </w:r>
    </w:p>
    <w:p>
      <w:pPr>
        <w:spacing w:after="0" w:line="225" w:lineRule="exact"/>
        <w:rPr>
          <w:rFonts w:ascii="Times New Roman" w:cs="Times New Roman" w:eastAsia="Times New Roman" w:hAnsi="Times New Roman"/>
          <w:sz w:val="18"/>
          <w:szCs w:val="18"/>
          <w:color w:val="auto"/>
        </w:rPr>
      </w:pPr>
    </w:p>
    <w:p>
      <w:pPr>
        <w:ind w:left="660" w:right="3380" w:hanging="328"/>
        <w:spacing w:after="0" w:line="50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 but not limited to: o we are substantially dependent on the success of SLK, which we license from MHKDG;</w:t>
      </w:r>
    </w:p>
    <w:p>
      <w:pPr>
        <w:spacing w:after="0" w:line="1" w:lineRule="exact"/>
        <w:rPr>
          <w:rFonts w:ascii="Times New Roman" w:cs="Times New Roman" w:eastAsia="Times New Roman" w:hAnsi="Times New Roman"/>
          <w:sz w:val="18"/>
          <w:szCs w:val="18"/>
          <w:color w:val="auto"/>
        </w:rPr>
      </w:pPr>
    </w:p>
    <w:p>
      <w:pPr>
        <w:ind w:left="660" w:right="11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our ability to obtain regulatory approval for our products, and any related restrictions or limitations of any approved products; o competition and competitive pressures from other global companies in the industries in which we operate;</w:t>
      </w:r>
    </w:p>
    <w:p>
      <w:pPr>
        <w:spacing w:after="0" w:line="1" w:lineRule="exact"/>
        <w:rPr>
          <w:rFonts w:ascii="Times New Roman" w:cs="Times New Roman" w:eastAsia="Times New Roman" w:hAnsi="Times New Roman"/>
          <w:sz w:val="18"/>
          <w:szCs w:val="18"/>
          <w:color w:val="auto"/>
        </w:rPr>
      </w:pPr>
    </w:p>
    <w:p>
      <w:pPr>
        <w:ind w:left="98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we have incurred significant losses since inception, and we expect to incur significant losses for the foreseeable future and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our ability to manage our growth effectively;</w:t>
      </w:r>
    </w:p>
    <w:p>
      <w:pPr>
        <w:spacing w:after="0" w:line="225" w:lineRule="exact"/>
        <w:rPr>
          <w:rFonts w:ascii="Times New Roman" w:cs="Times New Roman" w:eastAsia="Times New Roman" w:hAnsi="Times New Roman"/>
          <w:sz w:val="18"/>
          <w:szCs w:val="18"/>
          <w:color w:val="auto"/>
        </w:rPr>
      </w:pPr>
    </w:p>
    <w:p>
      <w:pPr>
        <w:ind w:left="980" w:right="24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impact of adverse business and economic conditions including inflationary pressures, general economic slowdown or a recession, fluctuating interest rates, new or increased tariffs and other barriers to trade, changes in fiscal and monetary policy or government budget dynamics, the prospect of a shutdown of the U.S. federal government, conflicts in the Middle East, and significant volatility in commodity prices, including the price of oil and the responses thereto;</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1" w:name="page12"/>
    <w:bookmarkEnd w:id="11"/>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have initiated and completed clinical trials, we have no products approved for commercial sale;</w:t>
      </w:r>
    </w:p>
    <w:p>
      <w:pPr>
        <w:spacing w:after="0" w:line="225" w:lineRule="exact"/>
        <w:rPr>
          <w:rFonts w:ascii="Times New Roman" w:cs="Times New Roman" w:eastAsia="Times New Roman" w:hAnsi="Times New Roman"/>
          <w:sz w:val="18"/>
          <w:szCs w:val="18"/>
          <w:color w:val="auto"/>
        </w:rPr>
      </w:pPr>
    </w:p>
    <w:p>
      <w:pPr>
        <w:jc w:val="both"/>
        <w:ind w:left="980" w:right="280" w:hanging="324"/>
        <w:spacing w:after="0" w:line="312" w:lineRule="auto"/>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litigation following periods of volatility in the marketplace or our share price;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adequately protect our intellectual property rights.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factors described under the heading “Risk Factors” in this prospectus supplement and the risk factors and cautionary statements described in other documents that we file from time to time with the SEC, specifically under the heading “Risk Factors” and elsewhere in our most recent Annual Report on Form 10-K and Quarterly Report on Form 10-Q for the quarter ended March 31, 2026, as may be updated by subsequent annual, quarterly and other reports that are incorporated by reference into this prospectus. You should evaluate all forward-looking statements made in this prospectus, including the documents we incorporate by reference, in the context of these risks, uncertainties and other factors.</w:t>
      </w:r>
    </w:p>
    <w:p>
      <w:pPr>
        <w:spacing w:after="0" w:line="18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are made as of the date hereof and we undertake no obligation to publicly update or review any forward-looking statement, whether as a result of new information, future developments or otherwise.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that the net proceeds from our issuance and sale of our Class A Ordinary Shares and pre-funded warrants in this offering will be</w:t>
      </w:r>
    </w:p>
    <w:p>
      <w:pPr>
        <w:spacing w:after="0" w:line="27"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approximately $ million (or, approximately $ million if the underwriters’ option to purchase additional shares is exercised in full), after deducting the underwriting discounts and commissions and the estimated offering expenses payable by us. These estimates exclude the proceeds, if any, from the exercise of the pre-funded warrants sold in this offering.</w:t>
      </w:r>
    </w:p>
    <w:p>
      <w:pPr>
        <w:spacing w:after="0" w:line="18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fund the research, development, pre-commercialization activities and commercialization activities of SLK, if approved, and for general corporate purposes.</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expect the proceeds from this offering, together with existing cash, cash equivalents and marketable securities, to be sufficient to . Clinical development involves a lengthy and expensive process with uncertain outcomes and is subject to risks described under the heading “Risk Factors” in our most recent Annual Report on Form 10-K and Quarterly Report on Form 10-Q for the quarter ended March 31, 2026, including that our preclinical studies or clinical trials may not be conducted as planned or completed on schedule and may not satisfy the requirements of the FDA, EMA, or other comparable foreign regulatory authorities. If we are required to conduct additional preclinical studies or clinical trials of SLK beyond those that we currently contemplate, if we are delayed or unable to successfully complete clinical trials of SLK or other testing, or if the results of these trials or tests are not positive or are only modestly positive or if there are safety concerns, we may require additional funding. Moreover, we will require additional capital to commercialize SLK and to discover, develop, obtain regulatory approval and commercialize any future product candidates, as applicable.</w:t>
      </w:r>
    </w:p>
    <w:p>
      <w:pPr>
        <w:spacing w:after="0" w:line="19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supplement, we cannot specify with certainty all of the particular uses of the proceeds, if any, from this offering. Accordingly, we will retain broad discretion over the use of any such proceeds. Pending the use of the net proceeds from this offering as described above, we intend to invest the net proceeds in investment-grade, interest-bearing instruments.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you purchase Class A Ordinary Shares or pre-funded warrants in this offering, your ownership interest will be diluted to the extent of the difference between the purchase price per share (or pre-funded warrant in lieu thereof) and the as adjusted net tangible book value per share after giving effect to this offering. We calculate net tangible book value per share by dividing the net tangible book value, which is total tangible assets less total liabilities, by the number of Class A Ordinary Shares. Dilution represents the difference between the portion of the amount per share (or pre-funded warrant in lieu thereof) paid by purchasers of Class A Ordinary Shares in this offering and the as adjusted net tangible book value per share of Class A Ordinary Share immediately after giving effect to this offering. Our net tangible book value as of March 31, 2026, was approximately $254.0 million, or $3.52 per share.</w:t>
      </w:r>
    </w:p>
    <w:p>
      <w:pPr>
        <w:spacing w:after="0" w:line="18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After giving effect to the issuance and sale of Class A Ordinary Shares at a public offering price of $ per Class A Ordinary Share and pre-funded warrants to purchase up to Class A Ordinary Shares in this offering at a public offering price of $ per pre-funded warrant (which</w:t>
      </w:r>
    </w:p>
    <w:p>
      <w:pPr>
        <w:ind w:right="160"/>
        <w:spacing w:after="0" w:line="187" w:lineRule="auto"/>
        <w:rPr>
          <w:sz w:val="20"/>
          <w:szCs w:val="20"/>
          <w:color w:val="auto"/>
        </w:rPr>
      </w:pPr>
      <w:r>
        <w:rPr>
          <w:rFonts w:ascii="Times New Roman" w:cs="Times New Roman" w:eastAsia="Times New Roman" w:hAnsi="Times New Roman"/>
          <w:sz w:val="16"/>
          <w:szCs w:val="16"/>
          <w:color w:val="auto"/>
        </w:rPr>
        <w:t>equals the public offering price per Class A Ordinary Share less the $0.0001 per Class A Ordinary Share exercise price of each such pre-funded warrant) (and excluding the Class A Ordinary Shares issued upon exercise of the pre-funded warrants or any resulting accounting associated with the pre-funded warrants), and after deducting commissions and estimated aggregate offering expenses payable by us, our as adjusted net tangible book value as of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31, 2026, would have been $ million, or $ per Class A Ordinary Share. This represents an immediate increase in the as adjusted net tangible book value of $ per share to our existing shareholders and an immediate dilution of $ per share to new investors purchasing</w:t>
      </w: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shares in this offering. The following table illustrates this per share dilution to new investors purchasing Class A Ordinary Shares (or pre-funded warrants in lieu thereof) in this offering, assuming the underwriters do not exercise their option to purchase additional Class A Ordinary Shares and the holders of the pre-funded warrants offered hereby do not exercise the pre-funded warrants: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(or pre-funded warrant in lieu thereof at the public offering price less $0.0001)</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214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in this offering</w:t>
            </w:r>
          </w:p>
        </w:tc>
        <w:tc>
          <w:tcPr>
            <w:tcW w:w="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0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March 31, 2026, after giving effect to this offering</w:t>
            </w:r>
          </w:p>
        </w:tc>
        <w:tc>
          <w:tcPr>
            <w:tcW w:w="6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50"/>
        </w:trPr>
        <w:tc>
          <w:tcPr>
            <w:tcW w:w="3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Dilution per share to new investors in this offering</w:t>
            </w:r>
          </w:p>
        </w:tc>
        <w:tc>
          <w:tcPr>
            <w:tcW w:w="2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
        </w:trPr>
        <w:tc>
          <w:tcPr>
            <w:tcW w:w="586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4"/>
        </w:trPr>
        <w:tc>
          <w:tcPr>
            <w:tcW w:w="5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If the underwriters exercise their option in full to purchase an additional</w:t>
            </w:r>
          </w:p>
        </w:tc>
        <w:tc>
          <w:tcPr>
            <w:tcW w:w="538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Class A Ordinary Shares, and assuming the holders of the pre-funded</w:t>
            </w:r>
          </w:p>
        </w:tc>
      </w:tr>
      <w:tr>
        <w:trPr>
          <w:trHeight w:val="216"/>
        </w:trPr>
        <w:tc>
          <w:tcPr>
            <w:tcW w:w="11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warrants offered hereby do not exercise the pre-funded warrants, our as adjusted net tangible book value per share after this offering would be</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w:t>
            </w:r>
          </w:p>
        </w:tc>
        <w:tc>
          <w:tcPr>
            <w:tcW w:w="64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per share, representing an increase in as adjusted net tangible book value of $</w:t>
            </w:r>
          </w:p>
        </w:tc>
        <w:tc>
          <w:tcPr>
            <w:tcW w:w="32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 share to our existing shareholders and</w:t>
            </w: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immediate dilution of approximately $</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 share to new investors participating in this offering.</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If holders of the pre-funded warrants exercise the pre-funded warrants in full, our as adjusted net tangible book value per Class A Ordinary Share after giving effect to this offering (but not the exercise of the underwriters’ option to purchase additional Class A Ordinary Shares) would have been</w:t>
      </w:r>
    </w:p>
    <w:p>
      <w:pPr>
        <w:ind w:left="780" w:hanging="772"/>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Class A Ordinary Share, and the dilution in as adjusted net tangible book value per Class A Ordinary Share to new investors participating in</w:t>
      </w:r>
    </w:p>
    <w:p>
      <w:pPr>
        <w:spacing w:after="0" w:line="9"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color w:val="auto"/>
        </w:rPr>
        <w:t>this offering would have been $</w:t>
      </w:r>
      <w:r>
        <w:rPr>
          <w:sz w:val="20"/>
          <w:szCs w:val="20"/>
          <w:color w:val="auto"/>
        </w:rPr>
        <w:tab/>
      </w:r>
      <w:r>
        <w:rPr>
          <w:rFonts w:ascii="Times New Roman" w:cs="Times New Roman" w:eastAsia="Times New Roman" w:hAnsi="Times New Roman"/>
          <w:sz w:val="17"/>
          <w:szCs w:val="17"/>
          <w:color w:val="auto"/>
        </w:rPr>
        <w:t>per Class A Ordinary Share.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Class A Ordinary Shares that will be outstanding after this offering is based on 72,134,066 Class A Ordinary Shares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excludes:</w:t>
      </w:r>
    </w:p>
    <w:p>
      <w:pPr>
        <w:spacing w:after="0" w:line="207" w:lineRule="exact"/>
        <w:rPr>
          <w:sz w:val="20"/>
          <w:szCs w:val="20"/>
          <w:color w:val="auto"/>
        </w:rPr>
      </w:pPr>
    </w:p>
    <w:p>
      <w:pPr>
        <w:ind w:left="660" w:right="2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2,524,668 Class A Ordinary Shares subject to stock options granted under the Incentive Plan at a weighted-average exercise price of $14.80 per share as of March 31,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1,044,534 Class A Ordinary Shares reserved for future equity award grants under the Incentive Plan as of March 31, 2026;</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additional Class A Ordinary Shares reserved for future equity award grants under the Incentive Plan, which was approved by the Company’s shareholders at the Annual Meeting held subsequent to March 31,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2,427,619 Class A Ordinary Shares issued under the Sales Agreement subsequent to March 31, 2026;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up to $219.5 million of Class A Ordinary Shares remaining for future sales under the Sales Agreement.</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Further, the number of Class A Ordinary Shares to be outstanding after this offering does not take into account the issuable upon the exercise of the pre-funded warrants.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Ordinary Shares</w:t>
      </w:r>
    </w:p>
    <w:p>
      <w:pPr>
        <w:spacing w:after="0" w:line="452" w:lineRule="exact"/>
        <w:rPr>
          <w:sz w:val="20"/>
          <w:szCs w:val="20"/>
          <w:color w:val="auto"/>
        </w:rPr>
      </w:pPr>
    </w:p>
    <w:p>
      <w:pPr>
        <w:sectPr>
          <w:pgSz w:w="11900" w:h="16838" w:orient="portrait"/>
          <w:cols w:equalWidth="0" w:num="2">
            <w:col w:w="8560" w:space="680"/>
            <w:col w:w="2000"/>
          </w:cols>
          <w:pgMar w:left="320" w:top="900" w:right="339" w:bottom="1440" w:gutter="0" w:footer="0" w:header="0"/>
          <w:type w:val="continuous"/>
        </w:sect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the extent shares have been issued or are issued under these outstanding options at exercise prices lower than the price of our Class A Ordinary Shares in this offering, you will incur further dilution. In addition, we may choose to raise additional capital, including pursuant to the Sales Agreement,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certain U.S. federal income tax consequences of the ownership and disposition of Class A Ordinary Shares and pre-funded warrants. This discussion is limited to certain U.S. federal income tax considerations to beneficial owners who are U.S. Holders (as defined below) of Class A Ordinary Shares or pre-funded warrants who purchase Class A Ordinary Shares or pre-funded warrants pursuant to this offering and hold Class A Ordinary Shares as capital assets within the meaning of Section 1221 of the U.S. Internal Revenue Code of 1986, as amended (the “Code”). This discussion assumes that any distributions made by us on the Class A Ordinary Shares and pre-funded warrants and any consideration received by a holder in consideration for the sale or other disposition of Class A Ordinary Shares and pre-funded warrants will be in U.S. dollars.</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initial shareholders, the ML Parties, the Sponsor, or our founders,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citizens and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(directly, indirectly or by attribution) five percent or more (by vote or value) of our shares (including the pre-funded warrants);</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Class A Ordinary Shares or pre-funded warrants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Class A Ordinary Shares or pre-funded warrants;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Class A Ordinary Shares or pre-funded warrants as part of a “straddle,” constructive sale, hedge, wash sale,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or other pass-through entities for U.S. federal income tax purposes and any beneficial owners of such partnerships or pass-through entities;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an entity or arrangement classified as a partnership or other pass-through entity for U.S. federal income tax purposes holds Class A Ordinary Shares or pre-funded warrants,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an entity or arrangement classified as a partnership or other pass-through entity for U.S. federal income tax purposes that holds, or a partner, member or other beneficial owner of a partnership holding Class A Ordinary Shares or pre-funded warrants, you are urged to consult your tax advisor regarding the tax consequences of the ownership and disposition of Class A Ordinary Shares or pre-funded warrants.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5" w:name="page16"/>
    <w:bookmarkEnd w:id="15"/>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non-U.S. jurisdiction.</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OWNERSHIP AND DISPOSITION OF CLASS A ORDINARY SHARES AND PRE-FUNDED WARRANTS ACQUIRED PURSUANT TO THIS OFFERING. EACH PROSPECTIVE INVESTOR IN CLASS A ORDINARY SHARES OR PRE-FUNDED WARRANTS IS URGED TO CONSULT ITS TAX ADVISOR WITH RESPECT TO THE PARTICULAR TAX CONSEQUENCES TO SUCH INVESTOR OF THE OWNERSHIP AND DISPOSITION OF CLASS A ORDINARY SHARES OR PRE-FUNDED WARRANTS, INCLUDING THE APPLICABILITY AND EFFECT OF ANY U.S. FEDERAL NON-INCOME, STATE, LOCAL, AND NON-U.S. TAX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Class A Ordinary Shares or pre-funded warrants who or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organized in or under the laws of the United States, any state thereof or the District of Columbia;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Treatment of Pre-Funded Warrants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Although not entirely free from doubt, each pre-funded warrant generally is expected to be treated as one Class A Ordinary Share for U.S. federal income tax purposes, and a U.S. Holder of pre-funded warrants generally is expected to be taxed in the same manner as a U.S. Holder of Class A Ordinary Shares, as described below. Accordingly, no gain or loss is expected to be recognized upon the exercise of a pre-funded warrant, and the holding period of a pre-funded warrant is expected to carry over to the Class A Ordinary Share received. Similarly, the tax basis of a pre-funded warrant is expected to carry over to the Class A Ordinary Shares received upon exercise, increased by the exercise price of $0.0001 per Class A Ordinary Share. However, such characterization is not binding on the IRS, and the IRS may treat the pre-funded warrants as warrants to acquire Class A Ordinary Shares. If so, the amount and character of a U.S. Holder’s gain with respect to an investment in pre-funded warrants could change.</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Each U.S. Holder should consult their tax advisors regarding the risks associated with an investment in pre-funded warrants pursuant to this offering (including potential alternative characterizations). The remainder of this discussion generally assumes that the pre-funded warrants will be treated as identical to Class A Ordinary Shares and references to Class A Ordinary Shares in the remainder of this discussion also refer to pre-funded warrants unless stated otherwise.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w:t>
      </w:r>
    </w:p>
    <w:p>
      <w:pPr>
        <w:ind w:right="20" w:firstLine="8"/>
        <w:spacing w:after="0" w:line="253"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 Cash generally is a passive asset for this purpose. Goodwill is an active asset under the PFIC rules to the extent attributable to activities that produce or are held for the production of active income.</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our case, our activities currently do not produce active income and there can be no assurance that our activities will produce active income in the future. It is not entirely clear how the asset and income tests should apply to a company like us that has substantial operating losses and that currently generates only passive income. Without taking into account the value of our goodwill, more than 50% of our assets by value is passive, which would generally mean that we would be a PFIC. The goodwill of the Company (the value of which is based on the Company’s market capitalization) may be attributable to activities that will generate active income in the future and thus may be treated as an active asset, but taking into account the significant decrease in the price of our Class A Ordinary Shares in 2025, we do not have goodwill for purposes of the asset test for a portion of the current taxable year and may not have goodwill for future taxable years. Additionally, because we hold, and expect to continue to hold, substantial amounts of cash (including cash from this offering), there is a significant risk that we will be or become a PFIC under the asset test due to our decreased market capitalization and the volatility of the price of our Class A Ordinary Shares. Moreover, as mentioned above, we may also qualify as a PFIC under the income test, since we have substantial operating losses and generate passive income.</w:t>
      </w:r>
    </w:p>
    <w:p>
      <w:pPr>
        <w:spacing w:after="0" w:line="19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Additionally, even if we are not a PFIC for a particular taxable year, we could become a PFIC for future years based on changes in our assets or the value thereof, including the fluctuations in value of our goodwill as indicated by our market capitalization, and based on changes in our activities and income, particularly given the fact that it is not entirely clear how the asset and income tests should apply to our Company if we continue to incur operating losses and generate passive income in the future. For these reasons, and since a company’s annual PFIC status can be determined only after the end of each taxable year, we cannot express a view as to whether we will be a PFIC for the current or any future taxable year.</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Therefore, U.S. investors should invest in our Class A Ordinary Shares only if they are willing to bear the U.S. federal income tax consequences of an investment in a PFIC.</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Although our PFIC status is determined annually, a determination that our company is a PFIC generally will apply for subsequent years to a U.S. Holder who held Class A Ordinary Shares while we were a PFIC, whether or not we meet the test for PFIC status in those subsequent years. If we are determined to be a PFIC for any taxable year (or portion thereof) that is included in the holding period of a U.S. Holder of our Class A Ordinary Shares and the U.S. Holder did not make either a timely mark-to-market election or a qualified electing fund (“QEF”) election for our first taxable year as a PFIC in which the U.S. Holder held (or was deemed to hold) Class A Ordinary Shares, as described below, such U.S. Holder generally will be subject to special rules with respect to (i) any gain recognized by the U.S. Holder on the sale or other taxable disposition of its Class A Ordinary Shares (which may include gain realized by reason of transfers of Class A Ordinary Shares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the portion of such U.S. Holder’s holding period for the Class A Ordinary Shares that preceded the taxable year of the distribution) (together, the “excess distribution rules”).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color w:val="auto"/>
        </w:rPr>
        <w:t>Under these excess distribution rules: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Class A Ordinary Shares;</w:t>
      </w:r>
    </w:p>
    <w:p>
      <w:pPr>
        <w:spacing w:after="0" w:line="225" w:lineRule="exact"/>
        <w:rPr>
          <w:rFonts w:ascii="Times New Roman" w:cs="Times New Roman" w:eastAsia="Times New Roman" w:hAnsi="Times New Roman"/>
          <w:sz w:val="18"/>
          <w:szCs w:val="18"/>
          <w:color w:val="auto"/>
        </w:rPr>
      </w:pPr>
    </w:p>
    <w:p>
      <w:pPr>
        <w:jc w:val="both"/>
        <w:ind w:left="660" w:right="140" w:hanging="328"/>
        <w:spacing w:after="0" w:line="312"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39" w:lineRule="exact"/>
        <w:rPr>
          <w:rFonts w:ascii="Times New Roman" w:cs="Times New Roman" w:eastAsia="Times New Roman" w:hAnsi="Times New Roman"/>
          <w:sz w:val="17"/>
          <w:szCs w:val="17"/>
          <w:color w:val="auto"/>
        </w:rPr>
      </w:pPr>
    </w:p>
    <w:p>
      <w:pPr>
        <w:jc w:val="both"/>
        <w:ind w:left="660" w:right="1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equal to the interest charge generally applicable to underpayments of tax will be imposed on the U.S. Holder with respect to the tax attributable to each such other taxable year of the U.S. Holder.</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Class A Ordinary Shares in us and for which we are determined to be a PFIC, such U.S. Holder generally will not be subject to the excess distribution rules described above with respect to its Class A Ordinary Shares. Instead, in general, the U.S. Holder will include as ordinary income in each taxable year the excess, if any, of the fair market value of its Class A Ordinary Shares at the end of its taxable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in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mark-to-market election is available only for stock that is regularly traded on a national securities exchange that is registered with the Securities and Exchange Commission, including Nasdaq (on which the Class A Ordinary Shares, but not the pre-funded warrants, are listed), or on a non-U.S.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ceased to qualify as “marketable stock” for purposes of the PFIC rules or the IRS consented to the revocation of the election. Notwithstanding the fact that the pre-funded warrants generally are treated as identical to Class A Ordinary Shares for U.S. federal income tax purposes, because the pre-funded warrants will not be listed on Nasdaq it is not entirely clear whether the pre-funded warrants will be treated as “marketable stock” for purposes of the PFIC rules. U.S. Holders are urged to consult their tax advisors regarding the availability and tax consequences of a mark-to-market election in respect of our Class A Ordinary Shares and pre-funded warrants under their particular circumstances.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we are a PFIC and, at any time, have a non-U.S. subsidiary that is classified as a PFIC (a “lower-tier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if the U.S. Holders otherwise were deemed to have disposed of an interest in the lower-tier PFIC.</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 mark-to-market election generally would not be available with respect to such lower-tier PFIC. U.S. Holders are urged to consult their tax advisors regarding the tax issues raised by lower-tier PFICs.</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U.S. Holders could also mitigate some of the adverse U.S. federal income tax consequences of the Company (and any non-U.S. subsidiary of the Company) being classified as a PFIC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 If a U.S. Holder makes a QEF election with respect to its Class A Ordinary Shares in a year after our first taxable year as a PFIC in which the U.S. Holder held (or was deemed to hold) Class A Ordinary Shares then, notwithstanding such QEF election, the excess distribution rules discussed above, adjusted to take into account the current income inclusions resulting from the QEF election, will continue to apply with respect to such U.S. Holder’s Class A Ordinary Shares.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we determine we are a PFIC for any taxable year, upon written request, we may provide to a U.S. Holder such information as the IRS may require, including a PFIC annual information statement, in order to enable the U.S. Holder to make and maintain a QEF election, but there can be no assurance that we will timely provide such required information.</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purging, and mark-to-market elections are very complex and are affected by various factors in addition to those described above. Accordingly, U.S. Holders of our Class A Ordinary Shares should consult their tax advisors concerning the application of the PFIC rules to our Class A Ordinary Shares under their particular circumstances.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above, a U.S. Holder generally will be required to include in gross income as dividends in the year actually or constructively received by the U.S. Holder the amount of any distribution of cash or other property (other than certain distributions of our shares or rights to acquire our shares) paid on our Class A Ordinary Shares to the extent the distribution is paid out of our current or accumulated earnings and profits (as determined under U.S. federal income tax principles). Distributions in excess of such earnings and profits generally will be applied against and reduce the U.S. Holder’s basis in its Class A Ordinary Shares (but not below zero) and, to the extent in excess of such basis, will be treated as gain from the sale or other taxable disposition of such Class A Ordinary Shares (the treatment of which is described under “— Gain or Loss on Sale, Taxable Exchange or Other Taxable Disposition of Class A Ordinary Shares” below). We may not maintain calculations of our earnings and profits under U.S. federal income tax principles, however, so U.S. Holders should assume that any distribution paid on our Class A Ordinary Shares may be reported as ordinary dividend income for U.S. federal income tax purposes.</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Dividends paid by us will be taxable to a corporate U.S. Holder at regular rates and will not be eligible for the dividends-received deduction generally allowed to domestic corporations in respect of dividends received from other domestic corporations. With respect to non-corporate U.S. Holders, dividends generally will be taxed at the lower applicable long-term capital gains rate (see “— Gain or Loss on Sale, Taxable Exchange or Other Taxable Disposition of Class A Ordinary Shares” below) only if our Class A Ordinary Shares are readily tradable on an established securities market in the United States, we are not a PFIC at the time the dividend was paid or in the previous year, and certain other requirements are met. U.S. Holders should consult their tax advisors regarding the availability of such lower rate for any dividends paid with respect to our Class A Ordinary Shares.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the Pre-Funded Warrants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Class A Ordinary Shares that will be issued on the exercise of the pre-funded warrants, or an adjustment to the exercise price of the pre-funded warrants, may be treated as a constructive distribution to a U.S. Holder of the pre-funded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to the extent described above under “</w:t>
      </w:r>
      <w:r>
        <w:rPr>
          <w:rFonts w:ascii="Times New Roman" w:cs="Times New Roman" w:eastAsia="Times New Roman" w:hAnsi="Times New Roman"/>
          <w:sz w:val="18"/>
          <w:szCs w:val="18"/>
          <w:i w:val="1"/>
          <w:iCs w:val="1"/>
          <w:color w:val="auto"/>
        </w:rPr>
        <w:t>Taxation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U.S. Holders should consult their tax advisor regarding the proper tax treatment of any such adjustment.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Ordinary Shares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Subject to the PFIC rules discussed above, a U.S. Holder generally will recognize capital gain or loss on the sale or other taxable disposition of our Class A Ordinary Shares. Any such capital gain or loss generally will be long-term capital gain or loss if the U.S. Holder’s holding period for such Class A Ordinary Shares exceeds one year. Long-term capital gain realized by a non-corporate U.S. Holder may be taxed at reduced rates of taxation. The deductibility of capital losses is subject to certain limitations.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amount of gain or loss recognized by a U.S. Holder on a sale or other taxable disposition generally will be equal to the difference between (i) the sum of the amount of cash and the fair market value of any property received in such disposition and (ii) the U.S. Holder’s adjusted tax basis in its Class A Ordinary Shares so disposed of. A U.S. Holder’s adjusted tax basis in its Class A Ordinary Shares generally will equal the U.S. Holder’s acquisition cost reduced by any prior distributions treated as a return of capital.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Lapse of Pre-Funded Warrants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If a U.S. Holder allows a pre-funded warrant to expire unexercised, such U.S. Holder will recognize a capital loss in an amount equal to such U.S. Holder’s tax basis in the pre-funded warrant. Any such loss generally will be a long-term capital loss if the pre-funded warrant is held for more than one year. The deductibility of capital losses is subject to certain limitations.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taxable exchange, or other taxable disposition of our Class A Ordinary Shares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w:t>
      </w:r>
    </w:p>
    <w:p>
      <w:pPr>
        <w:spacing w:after="0" w:line="1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timely furnishing any required information.</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Additionally, certain U.S. Holders are required to report information relating to Class A Ordinary Shares, subject to certain exceptions (including an exception for Class A Ordinary Shares held in accounts maintained by certain financial institutions), by attaching a complete IRS Form 8938, Statement of Specified Foreign Financial Assets, with their tax return for each year in which they hold Class A Ordinary Shares. You are urged to consult your tax advisors regarding information reporting requirements relating to your ownership of the Class A Ordinary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are offering our Class A Ordinary Shares in this offering. See “Description of Shares” in the accompanying prospectus for more information regarding our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attributes and characteristics of the pre-funded warrants. The form of pre-funded warrants will be provided to the pre-funded warrant purchasers in this offering and will be filed as an exhibit to a Current Report on Form 8-K in connection with this offering and incorporated by reference into the registration statement of which this prospectus supplement forms a part. The following summary is subject in all respects to the provisions contained in the pre-funded warrants. See “Description of Warrants” in the accompanying prospectus for more information regarding our pre-funded warrants.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Pre-funded warrants will be issued in certificated form only.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Each pre-funded warrant entitles the holder thereof to purchase Class A Ordinary Shares at an exercise price equal to $0.0001 per share. Each pre-funded warrant will be exercisable at any time beginning on the date of issuance. The number of Class A Ordinary Shares issuable upon exercise of each pre-funded warrant is subject to adjustment in the event of stock dividends, stock splits, reorganizations or similar events affecting our Class A Ordinary Shares and the exercise price.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holder of the pre-funded warrant may exercise the pre-funded warrant by delivering an exercise notice, completed and duly signed, and payment in cash of the exercise price for the number of Class A Ordinary Shares for which the pre-funded warrant is being exercised. The holder of the pre-funded warrant may also satisfy its obligation to pay the exercise price through a “cashless exercise,” in which the holder receives the net value of the pre-funded warrant in Class A Ordinary Shares determined according to the formula set forth in the pre-funded warrant.</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Upon a holder’s exercise of the pre-funded warrant, we will issue the Class A Ordinary Shares to which the holder is entitled pursuant to such exercise within three trading days after the exercise date.</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 holder of the pre-funded warrant will not be entitled to exercise any portion of such pre-funded warrant that, upon giving effect to such exercise, would cause the aggregate number of Class A Ordinary Shares beneficially owned by such holder (together with its affiliates and any other persons whose beneficial ownership of Class A Ordinary Shares would be aggregated with the holder for purposes of Section 13(d) of the Exchange Act) to exceed 9.99% (or 4.99% at the election of the holder) of the total number of then issued and outstanding Class A Ordinary Shares, as such percentage ownership is determined in accordance with the terms of the pre-funded warrant and subject to such holder’s rights under the pre-funded warrant to increase or decrease such percentage to any other percentage not in excess of 19.99% upon at least 61 days’ prior notice from such holder to us.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the event of any fundamental transaction, as described in the pre-funded warrants and generally including any merger with or into another entity, sale of all or substantially all of our assets, tender offer or exchange offer, or reclassification of our Class A Ordinary Shares, then upon any subsequent exercise of a pre-funded warrant, the holder will have the right to receive as alternative consideration, for each Class A Ordinary Share that would have been issuable upon such exercise immediately prior to the occurrence of such fundamental transaction, the number of Class A Ordinary Shares of the successor or acquiring corporation of our company, if it is the surviving corporation, and any additional consideration receivable upon or as a result of such transaction by a holder of the number of Class A Ordinary Shares for which the pre-funded warrant is exercisable immediately prior to such event.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Subject to applicable laws, a pre-funded warrant may be transferred at the option of the holder upon surrender of the pre-funded warrant to us together with the appropriate instruments of transfer and payment of funds sufficient to pay any transfer taxes (if applicable).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no trading market available for the pre-funded warrants on any securities exchange or nationally recognized trading system. We do not intend to list the pre-funded warrants on the Nasdaq Capital Market or any securities exchange or nationally recognized trading system.</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initially serve as the warrant agent under the pre-funded warrants.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as a Shareholder</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our Class A Ordinary Shares, the holders of the pre-funded warrants do not have the rights or privileges of holders of our Class A Ordinary Shares, including any voting rights, until they exercise their pre-funded warrants.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Leerink Partners is acting as sole representative of each of the underwriters named below and as a joint bookrunning manager for this offering. Guggenheim, Securities LLC, Cantor Fitzgerald &amp; Co. and LifeSci Capital LLC are also acting as joint bookrunning managers for this offering. Subject to the terms and conditions set forth in the underwriting agreement by and between us and the underwriters, we have agreed to sell to the underwriters, and each of the underwriters has agreed, severally and not jointly, to purchase from us, the number of Class A Ordinary Shares and pre-funded warrants to purchase Class A Ordinary Shares set forth opposite its name below.</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Class A</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Ordinary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5715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right"/>
        <w:ind w:right="220"/>
        <w:spacing w:after="0" w:line="277" w:lineRule="auto"/>
        <w:rPr>
          <w:sz w:val="20"/>
          <w:szCs w:val="20"/>
          <w:color w:val="auto"/>
        </w:rPr>
      </w:pPr>
      <w:r>
        <w:rPr>
          <w:rFonts w:ascii="Times New Roman" w:cs="Times New Roman" w:eastAsia="Times New Roman" w:hAnsi="Times New Roman"/>
          <w:sz w:val="17"/>
          <w:szCs w:val="17"/>
          <w:b w:val="1"/>
          <w:bCs w:val="1"/>
          <w:color w:val="auto"/>
        </w:rPr>
        <w:t>Number of Pre-Funded Warrants</w:t>
      </w:r>
    </w:p>
    <w:p>
      <w:pPr>
        <w:spacing w:after="0" w:line="2" w:lineRule="exact"/>
        <w:rPr>
          <w:sz w:val="20"/>
          <w:szCs w:val="20"/>
          <w:color w:val="auto"/>
        </w:rPr>
      </w:pPr>
    </w:p>
    <w:p>
      <w:pPr>
        <w:sectPr>
          <w:pgSz w:w="11900" w:h="16838" w:orient="portrait"/>
          <w:cols w:equalWidth="0" w:num="3">
            <w:col w:w="8100" w:space="720"/>
            <w:col w:w="840" w:space="440"/>
            <w:col w:w="114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Capital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1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Class A Ordinary Shares and pre-funded warrants sold under the underwriting agreement if any of the Class A Ordinary Shares and pre-funded warrants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Class A Ordinary Shares and pre-funded warrants, subject to prior sale, when, as and if issued to and accepted by them, subject to approval of legal matters by their counsel, including the validity of the Class A Ordinary Shares and pre-funded warrants,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representative has advised us that the underwriters propose initially to offer the Class A Ordinary Shares and pre-funded warrants to the public at</w:t>
      </w:r>
    </w:p>
    <w:p>
      <w:pPr>
        <w:spacing w:after="0" w:line="27" w:lineRule="exact"/>
        <w:rPr>
          <w:sz w:val="20"/>
          <w:szCs w:val="20"/>
          <w:color w:val="auto"/>
        </w:rPr>
      </w:pPr>
    </w:p>
    <w:p>
      <w:pPr>
        <w:spacing w:after="0"/>
        <w:tabs>
          <w:tab w:leader="none" w:pos="10920" w:val="left"/>
        </w:tabs>
        <w:rPr>
          <w:sz w:val="20"/>
          <w:szCs w:val="20"/>
          <w:color w:val="auto"/>
        </w:rPr>
      </w:pPr>
      <w:r>
        <w:rPr>
          <w:rFonts w:ascii="Times New Roman" w:cs="Times New Roman" w:eastAsia="Times New Roman" w:hAnsi="Times New Roman"/>
          <w:sz w:val="18"/>
          <w:szCs w:val="18"/>
          <w:color w:val="auto"/>
        </w:rPr>
        <w:t>the public offering prices set forth on the cover page of this prospectus supplement and to dealers at that price less a concession not in excess of $</w:t>
      </w:r>
      <w:r>
        <w:rPr>
          <w:sz w:val="20"/>
          <w:szCs w:val="20"/>
          <w:color w:val="auto"/>
        </w:rPr>
        <w:tab/>
      </w:r>
      <w:r>
        <w:rPr>
          <w:rFonts w:ascii="Times New Roman" w:cs="Times New Roman" w:eastAsia="Times New Roman" w:hAnsi="Times New Roman"/>
          <w:sz w:val="17"/>
          <w:szCs w:val="17"/>
          <w:color w:val="auto"/>
        </w:rPr>
        <w:t>per</w:t>
      </w:r>
    </w:p>
    <w:p>
      <w:pPr>
        <w:spacing w:after="0" w:line="9"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Class A Ordinary Share and $ per Class A Ordinary Share underlying the pre-funded warrants. After the initial offering of the Class A Ordinary Shares and pre-funded warrants, the public offering price, concession or any other term of this offering may be changed by the representative.</w:t>
      </w:r>
    </w:p>
    <w:p>
      <w:pPr>
        <w:spacing w:after="0" w:line="181"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initial public offering price, underwriting discounts and commissions and proceeds, before expenses, to us. The information assumes either no exercise or full exercise by the underwriters of their option to purchase additional Class A Ordinary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6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94"/>
        </w:trPr>
        <w:tc>
          <w:tcPr>
            <w:tcW w:w="5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Pre-Funded</w:t>
            </w:r>
          </w:p>
        </w:tc>
        <w:tc>
          <w:tcPr>
            <w:tcW w:w="120" w:type="dxa"/>
            <w:vAlign w:val="bottom"/>
          </w:tcPr>
          <w:p>
            <w:pPr>
              <w:spacing w:after="0"/>
              <w:rPr>
                <w:sz w:val="16"/>
                <w:szCs w:val="16"/>
                <w:color w:val="auto"/>
              </w:rPr>
            </w:pPr>
          </w:p>
        </w:tc>
        <w:tc>
          <w:tcPr>
            <w:tcW w:w="900" w:type="dxa"/>
            <w:vAlign w:val="bottom"/>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Without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With</w:t>
            </w:r>
          </w:p>
        </w:tc>
        <w:tc>
          <w:tcPr>
            <w:tcW w:w="100" w:type="dxa"/>
            <w:vAlign w:val="bottom"/>
          </w:tcPr>
          <w:p>
            <w:pPr>
              <w:spacing w:after="0"/>
              <w:rPr>
                <w:sz w:val="16"/>
                <w:szCs w:val="16"/>
                <w:color w:val="auto"/>
              </w:rPr>
            </w:pPr>
          </w:p>
        </w:tc>
      </w:tr>
      <w:tr>
        <w:trPr>
          <w:trHeight w:val="245"/>
        </w:trPr>
        <w:tc>
          <w:tcPr>
            <w:tcW w:w="5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20" w:type="dxa"/>
            <w:vAlign w:val="bottom"/>
          </w:tcPr>
          <w:p>
            <w:pPr>
              <w:spacing w:after="0"/>
              <w:rPr>
                <w:sz w:val="21"/>
                <w:szCs w:val="21"/>
                <w:color w:val="auto"/>
              </w:rPr>
            </w:pP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04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3"/>
              </w:rPr>
              <w:t>      </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70"/>
              </w:rPr>
              <w:t>               </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$200,000.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additional Class A Ordinary Shares at the public offering price, less underwriting discounts and commissions. If the underwriters exercise this option, each underwriter will be obligated, subject to the conditions contained in the underwriting agreement, to purchase a number of additional Class A Ordinary Shares proportionate to that underwriters’ initial amount reflected in the above table.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our executive officers and directors and certain of our existing security holders have agreed, subject to specified exceptions (including sales pursuant to existing trading plans meeting the requirements of Rule 10b5-1 of the Exchange Act), not to sell or transfer any Class A Ordinary Shares or securities convertible into or exchangeable or exercisable for Class A Ordinary Shares, for 45 days after the date of this prospectus supplement without first obtaining the written consent of Leerink Partners on behalf of the underwriters. Specifically, we and these other persons have agreed, with certain limited exceptions, not to directly or indirectly:</w:t>
      </w:r>
    </w:p>
    <w:p>
      <w:pPr>
        <w:spacing w:after="0" w:line="18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dispose of or transfer any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a registration statement related to the Class A Ordinary Shares; or</w:t>
      </w:r>
    </w:p>
    <w:p>
      <w:pPr>
        <w:spacing w:after="0" w:line="225" w:lineRule="exact"/>
        <w:rPr>
          <w:rFonts w:ascii="Times New Roman" w:cs="Times New Roman" w:eastAsia="Times New Roman" w:hAnsi="Times New Roman"/>
          <w:sz w:val="18"/>
          <w:szCs w:val="18"/>
          <w:color w:val="auto"/>
        </w:rPr>
      </w:pPr>
    </w:p>
    <w:p>
      <w:pPr>
        <w:jc w:val="both"/>
        <w:ind w:left="660" w:right="40" w:hanging="328"/>
        <w:spacing w:after="0" w:line="312"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swap or other agreement or any transaction that transfers, in whole or in part, the economic consequence of ownership of any Class A Ordinary Shares, whether any such swap, agreement or transaction is to be settled by delivery of shares or other securities, in cash or otherwise.</w:t>
      </w:r>
    </w:p>
    <w:p>
      <w:pPr>
        <w:spacing w:after="0" w:line="14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lock-up provisions apply to Class A Ordinary Shares and to securities convertible into or exchangeable or exercisable for Class A Ordinary Shares. They also apply to Class A Ordinary Shares owned now or acquired later by the person executing the lock-up agreement or for which the person executing the lock-up agreement later acquires the power of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“MLTX.” We do not intend to list the pre-funded warrants on the Nasdaq Capital Market, any other nationally recognized securities exchange or any other nationally recognized trading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Until the distribution of the Class A Ordinary Shares and pre-funded warrants is completed, SEC rules may limit underwriters and selling group members from bidding for and purchasing our Class A Ordinary Shares. However, the representative may engage in transactions that stabilize the price of the Class A Ordinary Shares, such as bids or purchases to peg, fix or maintain that price.</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Class A Ordinary Shares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Class A Ordinary Shares in the open market after pricing that could adversely affect investors who purchase in this offering. Stabilizing transactions consist of various bids for or purchases of Class A Ordinary Shares made by the underwriters in the open market prior to the closing of this offering.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4" w:name="page25"/>
    <w:bookmarkEnd w:id="24"/>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Class A Ordinary Shares or preventing or retarding a decline in the market price of our Class A Ordinary Shares. As a result, the price of our Class A Ordinary Shares may be higher than the price that might otherwise exist in the open market. The underwriters may conduct these transactions on the Nasdaq Capital Market, in the over-the-counter market or otherwise.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Class A Ordinary Shares. In addition, neither we nor any of the underwriters make any representation that the representative will engage in these transactions or that these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180" w:lineRule="exact"/>
        <w:rPr>
          <w:sz w:val="20"/>
          <w:szCs w:val="20"/>
          <w:color w:val="auto"/>
        </w:rPr>
      </w:pPr>
    </w:p>
    <w:p>
      <w:pPr>
        <w:ind w:left="5460" w:right="3100" w:hanging="5128"/>
        <w:spacing w:after="0" w:line="783" w:lineRule="auto"/>
        <w:tabs>
          <w:tab w:leader="none" w:pos="6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 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ind w:left="660" w:right="4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right="3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of the representative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w:t>
      </w:r>
    </w:p>
    <w:p>
      <w:pPr>
        <w:spacing w:after="0" w:line="16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Class A Ordinary Shares and pre-funded warrants which has been approved by the Financial Conduct Authority, except that the securities may be offered to the public in the United Kingdom at any time:</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22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representative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 w:name="page27"/>
    <w:bookmarkEnd w:id="26"/>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76" w:lineRule="exact"/>
        <w:rPr>
          <w:sz w:val="20"/>
          <w:szCs w:val="20"/>
          <w:color w:val="auto"/>
        </w:rPr>
      </w:pPr>
    </w:p>
    <w:p>
      <w:pPr>
        <w:ind w:left="660" w:right="1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Certain legal matters relating to U.S. law will be passed upon for us by Gibson, Dunn &amp; Crutcher LLP, San Francisco, California. Walkers (Cayman) LLP, Cayman Islands, will pass upon the validity of the Class A Ordinary Shares and pre-funded warrants offered hereby. The underwriters are being represented in connection with this offering by Mintz, Levin, Cohn, Ferris, Glovsky and Popeo, P.C., Boston, Massachusetts.</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MoonLake Immunotherapeutics in its Annual Report on Form 10-K for the year ended December 31, 2025, and the effectiveness of internal control over financial reporting incorporated by reference herein, have been audited by Baker Tilly US, LLP, an independent registered public accounting firm, as set forth in their report thereon incorporated by reference herein, in reliance upon such report and upon the authority of said firm as experts in accounting and auditing.</w:t>
      </w:r>
    </w:p>
    <w:p>
      <w:pPr>
        <w:spacing w:after="0" w:line="3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also filed a registration statement on Form S-3, including exhibits, under the Securities Act with respect to the securities offered by this prospectus supplement and the accompanying prospectus. This prospectus supplement and the accompanying prospectus are a part of that registration statement, but do not contain all of the information included in the registration statement or the exhibits.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You may access our annual reports on Form 10-K, quarterly reports on Form 10-Q, current reports on Form 8-K, proxy statements on Schedule 14A and amendments or supplements to those reports and statements, filed with the SEC, free of charge at our website at www.moonlaketx.com or by means of the SEC’s website at www.sec.gov. The information found on, or that can be accessed from or that is hyperlinked to, our website or the SEC’s website is not part of this prospectus supplement or the accompanying prospectus and you should not rely on that information when making a decision to invest in our Class A Ordinary Shares.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supplement and the accompanying prospectus, periodic and current reports, proxy statements and other information filed or furnished with the SEC concerning the contents of any contract, agreement or other document is only a summary of the actual contract, agreement or other document. If we have filed any contract, document, agreement or other document as an exhibit to such filing or furnishing, you should read the exhibit for a more complete understanding of the document or matter involved. Each statement regarding a contract, agreement or other document is qualified in its entirety by reference to the actual document.</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Upon written or oral request, we will provide without charge to each person to whom a copy of this prospectus supplement or the accompanying prospectus is delivered a copy of the documents incorporated by reference herein (other than exhibits to such documents unless such exhibits are specifically incorporated by reference herein). You may request a copy of these filings, at no cost, by writing, calling or emailing us at the contact information set forth below. We have authorized no one to provide you with any information that differs from that contained in this prospectus supplement and the accompanying prospectus. Accordingly, we take no responsibility for any other information that others may give you. You should not assume that the information in this prospectus supplement and the accompanying prospectus is accurate as of any date other than the date of the front cover of this prospectus supplement.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MoonLake Immunotherapeutics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Dorfstrasse 29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6300 Zug</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+41 415108022</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0" w:name="page31"/>
    <w:bookmarkEnd w:id="3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incorporates by reference important business and financial information about the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information referenced in this way is considered part of this prospectus supplement. Any subsequent information filed with the SEC will automatically be deemed to update and supersede the information in this prospectus supplement and in our other filings with the SEC. We incorporate by reference:</w:t>
      </w:r>
    </w:p>
    <w:p>
      <w:pPr>
        <w:spacing w:after="0" w:line="187" w:lineRule="exact"/>
        <w:rPr>
          <w:sz w:val="20"/>
          <w:szCs w:val="20"/>
          <w:color w:val="auto"/>
        </w:rPr>
      </w:pPr>
    </w:p>
    <w:p>
      <w:pPr>
        <w:ind w:left="660" w:right="2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25, 2026, including the Part III information incorporated by reference from our Definitive Proxy Statement on Schedule 14A filed with the SEC on April 21,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on May 11, 2026;</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8">
        <w:r>
          <w:rPr>
            <w:rFonts w:ascii="Times New Roman" w:cs="Times New Roman" w:eastAsia="Times New Roman" w:hAnsi="Times New Roman"/>
            <w:sz w:val="18"/>
            <w:szCs w:val="18"/>
            <w:u w:val="single" w:color="auto"/>
            <w:color w:val="0000EE"/>
          </w:rPr>
          <w:t>January 8, 2026</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February 23, 2026</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June 1, 2026</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June 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June 22,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(Item 8.01 only);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5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5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as filed with the SEC on February 25, 2026, as may be further amended by any amendments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and 7.01 of any Current Report on Form 8-K, including the related exhibits under Item 9.01, is not incorporated by reference in this prospectus supplement.</w:t>
      </w:r>
    </w:p>
    <w:p>
      <w:pPr>
        <w:spacing w:after="0" w:line="162" w:lineRule="exact"/>
        <w:rPr>
          <w:rFonts w:ascii="Times New Roman" w:cs="Times New Roman" w:eastAsia="Times New Roman" w:hAnsi="Times New Roman"/>
          <w:sz w:val="18"/>
          <w:szCs w:val="18"/>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any further filings we make with the SEC under Sections 13(a), 13(c), 14 or 15(d) of the Exchange Act (other than portions deemed to have been “furnished” and not filed with the SEC, including those made pursuant to Item 2.02, Item 7.01 or Item 9.01 of Form 8-K or other information), including all filings filed after the date hereof and prior to the completion of the offering of all securities under this prospectus supplement.</w:t>
      </w:r>
    </w:p>
    <w:p>
      <w:pPr>
        <w:spacing w:after="0" w:line="396"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156845</wp:posOffset>
            </wp:positionV>
            <wp:extent cx="2117090" cy="565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1170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may issue, in one or more series or classes, up to an aggregate of $1,000,000,000 of our ordinary shares, preference shares, debt securities, warrants and/or units, at prices and on terms that we will determine at the time of the offering.</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w:t>
      </w:r>
    </w:p>
    <w:p>
      <w:pPr>
        <w:spacing w:after="0" w:line="187"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applicable prospectus supplement and any related free writing prospectus carefully, as well as any documents incorporated by reference, before you invest in any of the securities being offered.</w:t>
      </w:r>
    </w:p>
    <w:p>
      <w:pPr>
        <w:spacing w:after="0" w:line="162"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Class A ordinary shares, par value $0.0001 per share (“Class A Ordinary Shares”), are listed on The Nasdaq Capital Market under the symbol “MLTX.” The last reported sale price of our Class A Ordinary Shares on The Nasdaq Capital Market on August 28, 2023 was $53.53 per share. We recommend that you obtain current market quotations for our Class A Ordinary Shares prior to making an investment decision.</w:t>
      </w:r>
    </w:p>
    <w:p>
      <w:pPr>
        <w:spacing w:after="0" w:line="172"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contained in this prospectus beginning on page 2 and any applicable prospectus supplement, and under similar headings in the other documents that are incorporated by reference into this prospectus.</w:t>
      </w:r>
    </w:p>
    <w:p>
      <w:pPr>
        <w:spacing w:after="0" w:line="171"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dated September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6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66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6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66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40" w:type="dxa"/>
            <w:vAlign w:val="bottom"/>
            <w:tcBorders>
              <w:bottom w:val="single" w:sz="8" w:color="CCEEFF"/>
            </w:tcBorders>
            <w:gridSpan w:val="7"/>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5"/>
        </w:trPr>
        <w:tc>
          <w:tcPr>
            <w:tcW w:w="8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2660" w:type="dxa"/>
            <w:vAlign w:val="bottom"/>
          </w:tcPr>
          <w:p>
            <w:pPr>
              <w:ind w:left="202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266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2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300" w:type="dxa"/>
            <w:vAlign w:val="bottom"/>
            <w:tcBorders>
              <w:top w:val="single" w:sz="8" w:color="CCEEFF"/>
            </w:tcBorders>
            <w:gridSpan w:val="13"/>
          </w:tcPr>
          <w:p>
            <w:pPr>
              <w:spacing w:after="0"/>
              <w:rPr>
                <w:sz w:val="15"/>
                <w:szCs w:val="15"/>
                <w:color w:val="auto"/>
              </w:rPr>
            </w:pPr>
          </w:p>
        </w:tc>
        <w:tc>
          <w:tcPr>
            <w:tcW w:w="2660" w:type="dxa"/>
            <w:vAlign w:val="bottom"/>
            <w:tcBorders>
              <w:top w:val="single" w:sz="8" w:color="CCEEFF"/>
            </w:tcBorders>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6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SECURITIES WE MAY OFFER</w:t>
            </w:r>
          </w:p>
        </w:tc>
        <w:tc>
          <w:tcPr>
            <w:tcW w:w="266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SHARES</w:t>
            </w:r>
          </w:p>
        </w:tc>
        <w:tc>
          <w:tcPr>
            <w:tcW w:w="266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6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248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100" w:type="dxa"/>
            <w:vAlign w:val="bottom"/>
            <w:tcBorders>
              <w:top w:val="single" w:sz="8" w:color="CCEEFF"/>
            </w:tcBorders>
            <w:gridSpan w:val="5"/>
          </w:tcPr>
          <w:p>
            <w:pPr>
              <w:spacing w:after="0"/>
              <w:rPr>
                <w:sz w:val="15"/>
                <w:szCs w:val="15"/>
                <w:color w:val="auto"/>
              </w:rPr>
            </w:pPr>
          </w:p>
        </w:tc>
        <w:tc>
          <w:tcPr>
            <w:tcW w:w="2660" w:type="dxa"/>
            <w:vAlign w:val="bottom"/>
            <w:tcBorders>
              <w:top w:val="single" w:sz="8" w:color="CCEEFF"/>
            </w:tcBorders>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520" w:type="dxa"/>
            <w:vAlign w:val="bottom"/>
            <w:tcBorders>
              <w:bottom w:val="single" w:sz="8" w:color="CCEEFF"/>
            </w:tcBorders>
            <w:gridSpan w:val="9"/>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8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800" w:type="dxa"/>
            <w:vAlign w:val="bottom"/>
            <w:tcBorders>
              <w:bottom w:val="single" w:sz="8" w:color="CCEEFF"/>
            </w:tcBorders>
            <w:gridSpan w:val="1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8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5"/>
        </w:trPr>
        <w:tc>
          <w:tcPr>
            <w:tcW w:w="8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(the “SEC” or the “Commission”) utilizing a “shelf” registration process. Under this shelf registration process, we may sell any combination of the securities described in this prospectus in one or more offerings up to a total dollar amount of $1,000,000,000. This prospectus provides you with a general description of the securities we may offer.</w:t>
      </w:r>
    </w:p>
    <w:p>
      <w:pPr>
        <w:spacing w:after="0" w:line="18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“Where You Can Find More Information” and “Incorporation by Reference.”</w:t>
      </w:r>
    </w:p>
    <w:p>
      <w:pPr>
        <w:spacing w:after="0" w:line="18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or where otherwise indicated, references to “MoonLake,” “we,” “us,” “our,” “our Company,” “the Company” and “our business” refer to MoonLake Immunotherapeutics and its consolidated subsidiaries.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including without limitation, statements regarding the following, are forward-looking statements: our future results of operations and financial position, our expectations regarding industry trends, the sufficiency of our cash and cash equivalents, anticipated sources and uses of cash, the anticipated investments in our business, our business strategy, and the plans and objectives of management for future operations and capital expenditures.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“might,” “possible,”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Some of the information contained in this discussion and analysis or set forth elsewhere in this prospectus contain forward-looking statements that reflect our plans and strategy for our business and related financing. Our actual results and the timing of events could differ materially from those anticipated in the forward-looking statements.</w:t>
      </w:r>
    </w:p>
    <w:p>
      <w:pPr>
        <w:spacing w:after="0" w:line="19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important risks, uncertainties and other factors that could cause actual results to differ materially from those in the forward-looking statements expressed or implied in this prospectus. Such risks, uncertainties and other factors include, among others, the risks, uncertainties and factors set forth in “Risk Factors,” and the following risks, uncertainties and factors:</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 but not limited to:</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novel tri-specific Nanobody®, Sonelokimab, also known as M1095/ALX 0761, which we license from Merck Healthcare KGaA, Darmstadt, Germany, an affiliate of Merck KGaA, Darmstadt, Germany (“MHKDG”);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products, and any related restrictions or limitations of any approved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competitive pressures from other global companies in the industries in which we operate;</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we expect to incur significant losses for the foreseeable future and may not be able to achieve or sustain profitability in the future;</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5" w:name="page36"/>
    <w:bookmarkEnd w:id="35"/>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business and economic conditions including inflationary pressures, general economic slowdown or a recession, increasing interest rates, and changes in monetary policy, banking institution instability and the prospect of a shutdown of the U.S. federal government;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have initiated clinical trials, we have not completed any clinical trials, and we have no products approved for commercial sale;</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312" w:lineRule="auto"/>
        <w:tabs>
          <w:tab w:leader="none" w:pos="9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the ability to adequately protect our intellectual property rights.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factors described under the heading “Risk Factors” in this prospectus and the risk factors and cautionary statements described in other documents that we file from time to time with the SEC, specifically under the heading “Risk Factors” and elsewhere in our most recent Annual Report on Form 10-K, as may be updated by subsequent annual, quarterly and other reports that are incorporated by reference into this prospectus. You should evaluate all forward-looking statements made in this prospectus, including the documents we incorporate by reference, in the context of these risks, uncertainties and other factors.</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made as of the date hereof and we undertake no obligation to publicly update or review any forward-looking statement, whether as a result of new information, future developments or otherwise.</w:t>
      </w:r>
    </w:p>
    <w:p>
      <w:pPr>
        <w:spacing w:after="0" w:line="3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985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27875" cy="7985125"/>
                    </a:xfrm>
                    <a:prstGeom prst="rect">
                      <a:avLst/>
                    </a:prstGeom>
                    <a:noFill/>
                  </pic:spPr>
                </pic:pic>
              </a:graphicData>
            </a:graphic>
          </wp:anchor>
        </w:drawing>
        <w:t>THE COMPANY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advancing therapies to address significant unmet needs in inflammatory skin and joint diseases. Our novel tri-specific Nanobody, SLK, is an IL-17A and IL-17F inhibitor that has shown therapeutic activity as measured by psoriasis area severity index (PASI) scores in patients with plaque-type psoriasis. The terms “Nanobody” and “Nanobodies” used herewith are registered trademarks of Ablynx N.V., Belgium, a Sanofi company. SLK is a proprietary Nanobody exclusively licensed from MHKDG.</w:t>
      </w:r>
    </w:p>
    <w:p>
      <w:pPr>
        <w:spacing w:after="0" w:line="18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are developing a portfolio of therapeutic indications for SLK, and are focused on demonstrating its efficacy, safety and dosing convenience, initially in hidradenitis suppurativa and psoriatic arthritis. We believe that SLK has a differentiated mechanism of action and potential to penetrate into deep skin and joint tissue. SLK’s purposefully designed molecular characteristics, including its smaller size compared to traditional monoclonal antibodies and its albumin binding site, are intended to facilitate deep tissue penetration in the skin and joints. We envision SLK as a key therapeutic alternative in our initial target indications and potentially in multiple other IL-17 driven inflammatory conditions. Building on the clinical data generated to date, we pursue the clinical development of SLK.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were originally incorporated on August 13, 2020 in the Cayman Islands as a special purpose acquisition company under the name Helix Acquisition Corp. (“Helix”), and our subsidiary, MoonLake AG, was incorporated in Switzerland in 2021. On April 5, 2022, MoonLake Immunotherapeutics (formerly known as Helix Acquisition Corp.) consummated the business combination pursuant to that certain Business Combination Agreement dated October 4, 2021 (the “Business Combination Agreement”), by and among Helix, MoonLake AG, the existing equityholders of MoonLake AG set forth on the signature pages to the Business Combination Agreement and equityholders of MoonLake AG that executed joinders to the Business Combination Agreement (collectively, the “ML Parties”), the Sponsor, and the representative of the ML Parties (such transactions contemplated by the Business Combination Agreement, collectively, the “Business Combination”). In connection with the consummation of the Business Combination, we changed our name from Helix Acquisition Corp. to MoonLake Immunotherapeutics. Our principal executive office is located in Dorfstrasse 29, 6300, Zug, Switzerland. Our website address is www.moonlaketx.com. Information contained on or accessible through our website is not a part of this prospectus. We have included our website in this prospectus solely as an inactive textual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our IPO consummated on October 22, 2020 (that is, December 31, 2025), (b) in which we have total annual gross revenue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billion, or (c) in which we are deemed to be a large accelerated filer, which means the market value of our Class A Ordinary Shares that are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non-affiliates exceeds $700 million as of the prior June 30, and (2) the date on which we have issued more than $1.0 billion in non-convertible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prior three-year period. References herein to “emerging growth company” will have the meaning associated with it in the JOBS Act.</w:t>
      </w:r>
    </w:p>
    <w:p>
      <w:pPr>
        <w:spacing w:after="0" w:line="20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183"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highlight w:val="white"/>
        </w:rPr>
        <w:t>Based on the aggregate market value of our common shares held by non-affiliates as of June 30, 2023, we believe we will become a “large accelerated filer” and no longer qualify as an emerging growth company or smaller reporting company as of December 31, 2023.</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27" w:right="479" w:bottom="1440" w:gutter="0" w:footer="0" w:header="0"/>
        </w:sectPr>
      </w:pPr>
    </w:p>
    <w:bookmarkStart w:id="37" w:name="page38"/>
    <w:bookmarkEnd w:id="3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w:t>
      </w:r>
    </w:p>
    <w:p>
      <w:pPr>
        <w:spacing w:after="0" w:line="18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our SEC filings, please see “Where You Can Find More Information” and “Incorporation of Certain Information by Reference.”</w:t>
      </w: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as working capital, including continuing to advance our pipeline through preclinical studies, clinical trials, regulatory submissions, commercial planning and commercialization, and for general corporate purposes. Our expected use of proceeds from the sale of the securities offered hereby represents our current intentions based on our present plans and business condition. As of the date of this prospectus, we cannot predict with certainty all of the particular uses for the proceeds to be received from the sale of the securities offered hereby or the amounts that we will actually spend on the uses set forth above.</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Pending the use of the net proceeds, we may invest the proceeds in interest-bearing, investment-grade securities, certificates of deposit or government securities. When we offer and sell the securities to which this prospectus relates, the prospectus supplement related to such offering will set forth our intended use of the proceeds, if any, received from the sale of such securities.</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9" w:name="page40"/>
    <w:bookmarkEnd w:id="39"/>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36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900" w:right="779" w:bottom="1440" w:gutter="0" w:footer="0" w:header="0"/>
        </w:sectPr>
      </w:pPr>
    </w:p>
    <w:bookmarkStart w:id="40" w:name="page41"/>
    <w:bookmarkEnd w:id="4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SHARES</w:t>
      </w:r>
    </w:p>
    <w:p>
      <w:pPr>
        <w:spacing w:after="0" w:line="229"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brief description of the material provisions of our shares. Our Class A ordinary share is the only class of our securities registered pursuant to Section 12 of the Exchange Act. The following description of our shares does not purport to be complete and is subject to and qualified in its entirety by our Second Amended and Memorandum and Articles of Association (the “MAA”) and the applicable provisions of the Companies Act of the Cayman Islands, as amended (the “Companies Act”). We encourage you to read the MAA and the applicable provisions of the Companies Act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MAA authorizes the issuance of up to 655,000,000 shares, consisting of:</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Class B ordinary shares, par value US$0.0001 per share (“Class B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Class C ordinary shares, par value US$0.0001 per share (“Class C Ordinary Shares”);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preference shares, par value US$0.0001 per share (“preference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Rights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event of a winding up or dissolution of the Company, whether voluntary or involuntary or for the purposes of a reorganization or otherwise or upon any repayment or distribution of capital, the entitlement of the holders of Class C Ordinary Shares is determined in accordance with the MAA. Class C Ordinary Shares confer no other right to participate in the profits or assets of the Company (including, for the avoidance of doubt, any right to receive a dividend or other distribution).</w:t>
      </w:r>
    </w:p>
    <w:p>
      <w:pPr>
        <w:spacing w:after="0" w:line="18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Class A Ordinary Shares carry the right to receive notice of and to attend, to speak at and to vote at any general meeting of the Company, rights in a winding up or repayment or distribution of capital and the right to participate in the profits or assets of the Company, in each case, in accordance with the MAA.</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provided by the rights attached to any ordinary shares in the MAA, rights attaching to the Class A Ordinary Shares and the Class C Ordinary Shares rank pari passu in all respects, and the Class A Ordinary Shares and Class C Ordinary Shares vote together as a single class on all matters.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MAA authorizes 5,000,000 preference shares and provides that preference shares may be issued from time to time in one or more series. Our board of directors (the “Board”) is authorized to fix the voting rights, if any, designations, powers, preferences, the relative, participating, optional or other special rights and any qualifications, limitations and restrictions thereof, applicable to the shares of each series.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Board is able to, without shareholder approval, issue preference shares with voting and other rights that could adversely affect the voting power and other rights of the holders of the ordinary shares and could have anti-takeover effects. The ability of the Board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Class B Ordinary Shares issued or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required under Cayman Islands law, we keep a register of members that states:</w:t>
      </w:r>
    </w:p>
    <w:p>
      <w:pPr>
        <w:spacing w:after="0" w:line="225" w:lineRule="exact"/>
        <w:rPr>
          <w:sz w:val="20"/>
          <w:szCs w:val="20"/>
          <w:color w:val="auto"/>
        </w:rPr>
      </w:pPr>
    </w:p>
    <w:p>
      <w:pPr>
        <w:ind w:left="660" w:right="1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the amount paid or agreed to be considered as paid on the shares of each member and the voting rights of the shares of each member;</w:t>
      </w: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41" w:name="page42"/>
    <w:bookmarkEnd w:id="41"/>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voting rights are attached to the share in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raises a presumption of fact on the matters referred to above unless rebutted) and a member registered in the register of members is deemed as a matter of Cayman Islands law to have legal title to the shares as set against its name in the register of members.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Differences in Corporate Law</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Cayman Islands companies are governed by the Companies Act. The Companies Act is modeled on English Law but does not follow recent English Law statutory enactments, and differs from laws applicable to U.S.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78"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In certain circumstances, the Companies Act permits mergers or consolidations between two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or between a Cayman Islands exempted company and a company incorporated in another jurisdiction (provided that is permitted or not prohibited by the constitutional documents of the company incorporated in another jurisdiction and facilitated by the laws of that other jurisdiction).</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(usually a majority of shareholders holding at least two-thirds of the voting shares voted at a general meeting) of the shareholders of each company; and (b) such other authorization, if any, as may be specified in such constituent company’s articles of association. No shareholder resolution is required for a merger between a parent company (i.e., a company that holds issued shares that together represent 90% of the votes at a general meeting of the subsidiary company) and its subsidiary company, if a copy of the plan of merger is given to every member of each subsidiary company to be merged, unless that member agrees otherwise. The consent of each holder of a fixed or floating security interest of a constituent company must be obtained, unless the Cayman Islands court waives such requirement or makes such order as the Cayman Islands court otherwise considers reasonable. The directors of each company are required to provide a declaration of the assets and liabilities of the company made up to the latest practicable date before the making of the declaration, and are further required to make a declaration to the effect that: (i) the company is able to pay its debts as they fall due and that the merger or consolidation is bona fide and not intended to defraud unsecured creditors of the company; (ii) no petition or other similar proceeding has been filed and remains outstanding and that no order has been made or resolution adopted to wind up the company in any jurisdiction; (iii) no receiver, trustee, administrator or other similar person has been appointed in any jurisdiction and is acting in respect of the company, its affairs or its property or any part thereof; (iv) no scheme, order, compromise or other similar arrangement has been entered into or made in any jurisdiction whereby the rights of creditors of the company are and continue to be suspended or restricted; (v) in the case of a constituent company that is not a surviving company, the constituent company has retired from any fiduciary office held or will do so immediately prior to the merger or consolidation; and (vi) where relevant, the company has complied with any applicable requirements under Cayman Islands regulatory laws.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firstLine="324"/>
        <w:spacing w:after="0" w:line="252"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and the surviving company is the Cayman Islands exempted company, the procedure is similar, save that where the surviving or consolidated company is the Cayman Islands exempted company, the Cayman Islands Registrar of Companies is required to be satisfied in respect of any constituent overseas company that: (i)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no petition or other similar proceeding has been filed and remains outstanding or order made or resolution adopted to wind up or liquidate the foreign company in the jurisdiction in which the foreign company is existing; (iii) no receiver, trustee, administrator or other similar person has been appointed in any jurisdiction and is acting in respect of the foreign company, its affairs or its property or any part thereof; (iv) no scheme, order, compromise or other similar arrangement has been entered into or made in any jurisdiction whereby the rights of creditors of the foreign company are and continue to be suspended or restricted; (v) the foreign company is able to pay its debts as they fall due and that the merger or consolidation is bona fide and not intended to defraud unsecured creditors of the foreign company; (vi)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(vii) the foreign company will, upon the merger or consolidation becoming effective, cease to be incorporated, registered or exist under the laws of the relevant foreign jurisdiction; and (viii) there is no other reason why it would be against the public interest to permit the merger or consolidation. The requirements set out in sections (i) to (vii) above shall be met by a director of the Cayman Islands exempted company making a declaration to the effect that, having made due enquiry, they are of the opinion that such requirements have been met, such declaration to include a statement of the assets and liabilities of the foreign company made up to the latest practicable date before making the declaration.</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Where the above procedures are adopted, the Companies Act provides for a right of dissenting shareholders to be paid a payment of the fair value of their shares upon their dissenting to the merger or consolidation if they follow a prescribed procedure. In essence, that procedure is as follows: (a) the shareholder must give their written objection to the merger or consolidation to the constituent company before the vote on the merger or consolidation, including a statement that the shareholder proposes to demand payment for their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their intention to dissent including, among other details, a demand for payment of the fair value of their shares; (d) within seven days following the date of the expiration of the period set out in paragraph (c) above or within seven days following the date on which the plan of merger or consolidation is filed, whichever is later, the constituent company, the surviving company or the consolidated company must make a written offer to each dissenting shareholder to purchase their shares at a price that the company determines is the fair value and if the company and the shareholder agree to the price within 30 days following the date on which the offer was made, the company must pay the shareholder such amount; and (e) if the company and the shareholder fail to agree to a price within such 30 day period, within 20 days following the date on which such 30 day period expires, the company shall (and any dissenting shareholder may)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Cayman Islands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3" w:name="page44"/>
    <w:bookmarkEnd w:id="43"/>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(i) in respect a scheme of arrangement proposed between a company and its shareholders (or any class of shareholder), 75% in value of the shareholders (or each class of shareholder) who attend and vote, either in person or by proxy, at a meeting (or meetings) convened for that purpose; or (ii) a scheme of arrangement proposed between a company and its creditors (or any class of creditors), a majority in number representing 75% in value of the creditors (or each class of creditors) who attend and vote, either in person or by proxy, at a meeting (or meetings) convened for that purpose. The convening of the meetings and subsequently the terms of the arrangement must be sanctioned by the Cayman Islands court. While a dissenting shareholder would have the right to express to the Cayman Islands court the view that the scheme of arrangement should not be sanctioned, the Cayman Islands court may be expected to sanction the scheme of arrangement if it satisfies itself that:</w:t>
      </w:r>
    </w:p>
    <w:p>
      <w:pPr>
        <w:spacing w:after="0" w:line="182" w:lineRule="exact"/>
        <w:rPr>
          <w:sz w:val="20"/>
          <w:szCs w:val="20"/>
          <w:color w:val="auto"/>
        </w:rPr>
      </w:pPr>
    </w:p>
    <w:p>
      <w:pPr>
        <w:ind w:left="660" w:right="2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proposing to act illegally or beyond the scope of its corporate authority and the statutory provisions as to dual majority vote have been complied with;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If a scheme of arrangement is sanctioned by the Cayman Islands court, the scheme of arrangement will be binding on all of the shareholders (or each class of shareholder) or creditors (or each class of creditor).</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sanctioned by the Cayman Islands court,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7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Squeeze-out Provisions</w:t>
      </w:r>
      <w:r>
        <w:rPr>
          <w:rFonts w:ascii="Times New Roman" w:cs="Times New Roman" w:eastAsia="Times New Roman" w:hAnsi="Times New Roman"/>
          <w:sz w:val="18"/>
          <w:szCs w:val="18"/>
          <w:color w:val="auto"/>
        </w:rPr>
        <w:t>. When a takeover offer is made and accepted by holders of 90% of the shares to whom the offer relates within four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No Appraisal Rights</w:t>
      </w:r>
      <w:r>
        <w:rPr>
          <w:rFonts w:ascii="Times New Roman" w:cs="Times New Roman" w:eastAsia="Times New Roman" w:hAnsi="Times New Roman"/>
          <w:sz w:val="18"/>
          <w:szCs w:val="18"/>
          <w:color w:val="auto"/>
        </w:rPr>
        <w:t>. Our shareholders have no rights comparable to appraisal rights, which might otherwise ordinarily be available to dissenting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 United States corporations and allow such dissenting shareholders to receive payment in cash for the judicially determined value of the shares. However, appraisal rights would also not be available to shareholders of a Delaware target in a business combination transaction if the shares of the target were listed on a national securities exchange and target shareholders receive only shares of a corporation which shares are also listed on a national securities exchange.</w:t>
      </w:r>
    </w:p>
    <w:p>
      <w:pPr>
        <w:spacing w:after="0" w:line="185"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38"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Walkers (Cayman) LLP, our Cayman Islands counsel, is not aware of any reported class action having been brought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8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60" w:lineRule="exact"/>
        <w:rPr>
          <w:sz w:val="20"/>
          <w:szCs w:val="20"/>
          <w:color w:val="auto"/>
        </w:rPr>
      </w:pPr>
    </w:p>
    <w:p>
      <w:pPr>
        <w:ind w:right="4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Enforcement of Civil Liabilities</w:t>
      </w:r>
      <w:r>
        <w:rPr>
          <w:rFonts w:ascii="Times New Roman" w:cs="Times New Roman" w:eastAsia="Times New Roman" w:hAnsi="Times New Roman"/>
          <w:sz w:val="18"/>
          <w:szCs w:val="18"/>
          <w:color w:val="auto"/>
        </w:rPr>
        <w:t>. The Cayman Islands has a different body of securities laws as compared to the United States and provides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to investors. Additionally, Cayman Islands companies may not have standing to sue before the Federal courts of the United States.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been advised by Walkers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in the United States; and (ii) in original actions brought in the Cayman Islands, to impose liabilities against us predicated upon the civil liability provisions of the federal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8"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Special Considerations for Exempted Companies</w:t>
      </w:r>
      <w:r>
        <w:rPr>
          <w:rFonts w:ascii="Times New Roman" w:cs="Times New Roman" w:eastAsia="Times New Roman" w:hAnsi="Times New Roman"/>
          <w:sz w:val="18"/>
          <w:szCs w:val="18"/>
          <w:color w:val="auto"/>
        </w:rPr>
        <w:t>. The Company is an exempted company with limited liability under the Companies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distinguishes between ordinary resident companies and exempted companies. Any company that is registered in the Cayman Islands but conducts business mainly outside of the Cayman Islands may apply to be registered as an exempted company. “Limited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the MAA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MAA provides that the Board be classified into three classes of directors, each to be elected for a three-year term.</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authorized but unissued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preference shares could render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for at least six months is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for at least six months but who are our affiliates at the time of, or at any time during the three months preceding, a sale, are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ordinary shares then outstanding;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Ordinary Shares during the four calendar weeks preceding the filing of a notice on Form 144 with respect to the sale.</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Rule 144 by Shell Companies or Former Shell Companies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As a result, our initial shareholders are able to sell their founder shares and private placement shares, as applicable, pursuant to Rule 144 without registration beginning April 5, 2023, one year after the date we completed the Business Combination.</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are no longer a shell company, and so, once the conditions set forth in the exceptions listed above are satisfied, Rule 144 will become available for the resale of the above noted restricted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the Class A Ordinary Shares and Class C Ordinary Shares is Continental Stock Transfer &amp; Trust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6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(the “Trust Indenture Act”). We included copies of the forms of the indentures as exhibits to our registration statement and they are incorporated into this prospectus by reference.</w:t>
      </w:r>
    </w:p>
    <w:p>
      <w:pPr>
        <w:spacing w:after="0" w:line="18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indentures:</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senior debt securities will be unsubordinated obligations and will rank equally with all of our other senior unsecured and unsubordinated indebtedness. Payments on the subordinated debt securities will be subordinated to the prior payment in full of all of our senior indebtedness, as described under “Description of Debt Securities—Subordination” and in the applicable prospectus supplement.</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47" w:name="page48"/>
    <w:bookmarkEnd w:id="47"/>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225" w:lineRule="exact"/>
        <w:rPr>
          <w:rFonts w:ascii="Times New Roman" w:cs="Times New Roman" w:eastAsia="Times New Roman" w:hAnsi="Times New Roman"/>
          <w:sz w:val="18"/>
          <w:szCs w:val="18"/>
          <w:color w:val="auto"/>
        </w:rPr>
      </w:pPr>
    </w:p>
    <w:p>
      <w:pPr>
        <w:ind w:left="660" w:hanging="328"/>
        <w:spacing w:after="0" w:line="312"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39" w:lineRule="exact"/>
        <w:rPr>
          <w:rFonts w:ascii="Times New Roman" w:cs="Times New Roman" w:eastAsia="Times New Roman" w:hAnsi="Times New Roman"/>
          <w:sz w:val="17"/>
          <w:szCs w:val="17"/>
          <w:color w:val="auto"/>
        </w:rPr>
      </w:pPr>
    </w:p>
    <w:p>
      <w:pPr>
        <w:ind w:left="660" w:right="2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ordinary shares or other securities of ours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and the conversion period and any applicable limitations on the ownership or transferability of ordinary shares or other securities of ours received on conversion;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of the debt securities, or the method by which the interest rate or rates is determined;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from which interest will accrue;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such dates will be determined;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will be calculated if other than that of a 360-day year of twelve 30-day months;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or make-whole amount, and interest on, the debt securities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notices or demands to or upon us in respect of the debt securities and the applicable indenture may be served;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times, prices and other terms and conditions upon which we may redeem the debt securities;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328" w:right="300" w:hanging="328"/>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175" w:lineRule="exact"/>
        <w:rPr>
          <w:rFonts w:ascii="Times New Roman" w:cs="Times New Roman" w:eastAsia="Times New Roman" w:hAnsi="Times New Roman"/>
          <w:sz w:val="18"/>
          <w:szCs w:val="18"/>
          <w:color w:val="auto"/>
        </w:rPr>
      </w:pPr>
    </w:p>
    <w:p>
      <w:pPr>
        <w:jc w:val="both"/>
        <w:ind w:left="328" w:right="280" w:hanging="328"/>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175" w:lineRule="exact"/>
        <w:rPr>
          <w:rFonts w:ascii="Times New Roman" w:cs="Times New Roman" w:eastAsia="Times New Roman" w:hAnsi="Times New Roman"/>
          <w:sz w:val="18"/>
          <w:szCs w:val="18"/>
          <w:color w:val="auto"/>
        </w:rPr>
      </w:pPr>
    </w:p>
    <w:p>
      <w:pPr>
        <w:ind w:left="328" w:right="60" w:hanging="328"/>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175" w:lineRule="exact"/>
        <w:rPr>
          <w:rFonts w:ascii="Times New Roman" w:cs="Times New Roman" w:eastAsia="Times New Roman" w:hAnsi="Times New Roman"/>
          <w:sz w:val="18"/>
          <w:szCs w:val="18"/>
          <w:color w:val="auto"/>
        </w:rPr>
      </w:pPr>
    </w:p>
    <w:p>
      <w:pPr>
        <w:ind w:left="328" w:right="240" w:hanging="328"/>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161" w:lineRule="exact"/>
        <w:rPr>
          <w:rFonts w:ascii="Times New Roman" w:cs="Times New Roman" w:eastAsia="Times New Roman" w:hAnsi="Times New Roman"/>
          <w:sz w:val="18"/>
          <w:szCs w:val="18"/>
          <w:color w:val="auto"/>
        </w:rPr>
      </w:pPr>
    </w:p>
    <w:p>
      <w:pPr>
        <w:ind w:left="328" w:hanging="328"/>
        <w:spacing w:after="0" w:line="261"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179" w:lineRule="exact"/>
        <w:rPr>
          <w:rFonts w:ascii="Times New Roman" w:cs="Times New Roman" w:eastAsia="Times New Roman" w:hAnsi="Times New Roman"/>
          <w:sz w:val="18"/>
          <w:szCs w:val="18"/>
          <w:color w:val="auto"/>
        </w:rPr>
      </w:pPr>
    </w:p>
    <w:p>
      <w:pPr>
        <w:ind w:left="328" w:right="60" w:hanging="328"/>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61"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depositary for securities in registered form, if such series are to be issuable as a global security;</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debt securities in bearer form or in temporary global form shall be dated if other than the original issuance date of the first security of the series to be issued;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described in this prospectus or in the applicable indenture;</w:t>
      </w:r>
    </w:p>
    <w:p>
      <w:pPr>
        <w:spacing w:after="0" w:line="225" w:lineRule="exact"/>
        <w:rPr>
          <w:rFonts w:ascii="Times New Roman" w:cs="Times New Roman" w:eastAsia="Times New Roman" w:hAnsi="Times New Roman"/>
          <w:sz w:val="18"/>
          <w:szCs w:val="18"/>
          <w:color w:val="auto"/>
        </w:rPr>
      </w:pPr>
    </w:p>
    <w:p>
      <w:pPr>
        <w:ind w:left="328" w:right="1020" w:hanging="328"/>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61"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debt securities being offered are convertible into ordinary shares or other securities of ours, as the case may be, including the conversion price or rate and the manner or calculation thereof;</w:t>
      </w:r>
    </w:p>
    <w:p>
      <w:pPr>
        <w:spacing w:after="0" w:line="161" w:lineRule="exact"/>
        <w:rPr>
          <w:rFonts w:ascii="Times New Roman" w:cs="Times New Roman" w:eastAsia="Times New Roman" w:hAnsi="Times New Roman"/>
          <w:sz w:val="18"/>
          <w:szCs w:val="18"/>
          <w:color w:val="auto"/>
        </w:rPr>
      </w:pPr>
    </w:p>
    <w:p>
      <w:pPr>
        <w:ind w:left="328" w:right="80" w:hanging="328"/>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3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9" w:name="page50"/>
    <w:bookmarkEnd w:id="49"/>
    <w:p>
      <w:pPr>
        <w:ind w:left="660" w:right="70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securities upon the occurrence of such events as specified in the applicable prospectus supplement;</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CUSIP numbers;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right="520" w:firstLine="324"/>
        <w:spacing w:after="0" w:line="258"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 including the portion of the principal amount thereof to be payable upon declaration of acceleration of the maturity of the debt securities.</w:t>
      </w:r>
    </w:p>
    <w:p>
      <w:pPr>
        <w:spacing w:after="0" w:line="18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Except as described in the indentures under “Compliance with Consolidation Provisions” and “Successor Entity”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80"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Denomination, Interest, Registration and Transfer</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debt securities of any series will be issuable in denominations of $1,000 and integral multiples of $1,000.</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62" w:lineRule="exact"/>
        <w:rPr>
          <w:sz w:val="20"/>
          <w:szCs w:val="20"/>
          <w:color w:val="auto"/>
        </w:rPr>
      </w:pPr>
    </w:p>
    <w:p>
      <w:pPr>
        <w:ind w:left="660" w:right="4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them for registration of transfer or exchange at the corporate trust office of the applicable trustee or at the office of any transfer agent that we designate for such purpose.</w:t>
      </w:r>
    </w:p>
    <w:p>
      <w:pPr>
        <w:spacing w:after="0" w:line="16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Neither we, nor any trustee, will be required to:</w:t>
      </w:r>
    </w:p>
    <w:p>
      <w:pPr>
        <w:spacing w:after="0" w:line="225" w:lineRule="exact"/>
        <w:rPr>
          <w:sz w:val="20"/>
          <w:szCs w:val="20"/>
          <w:color w:val="auto"/>
        </w:rPr>
      </w:pPr>
    </w:p>
    <w:p>
      <w:pPr>
        <w:ind w:left="660" w:right="8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any series during a period beginning at the opening of business 15 days before the day that a notice of redemption of less than all the outstanding debt securities of the same series is mailed and ending at the close of business on the day of such mailing;</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62" w:lineRule="exact"/>
        <w:rPr>
          <w:sz w:val="20"/>
          <w:szCs w:val="20"/>
          <w:color w:val="auto"/>
        </w:rPr>
      </w:pPr>
    </w:p>
    <w:p>
      <w:pPr>
        <w:jc w:val="both"/>
        <w:ind w:left="660" w:right="2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175" w:lineRule="exact"/>
        <w:rPr>
          <w:rFonts w:ascii="Times New Roman" w:cs="Times New Roman" w:eastAsia="Times New Roman" w:hAnsi="Times New Roman"/>
          <w:sz w:val="18"/>
          <w:szCs w:val="18"/>
          <w:color w:val="auto"/>
        </w:rPr>
      </w:pPr>
    </w:p>
    <w:p>
      <w:pPr>
        <w:ind w:left="660" w:right="300" w:hanging="328"/>
        <w:spacing w:after="0" w:line="289" w:lineRule="auto"/>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any outstanding debt securities shall be entitled to receive upon conversion or exchange of such debt securities the number of securities or property to which a holder of the number of ordinary shares or other securities of the Company deliverable upon conversion or exchange of such debt securities would have been entitled had such conversion or exchange occurred immediately prior to the transaction; and</w:t>
      </w:r>
    </w:p>
    <w:p>
      <w:pPr>
        <w:spacing w:after="0" w:line="15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7"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Existence. </w:t>
      </w:r>
      <w:r>
        <w:rPr>
          <w:rFonts w:ascii="Times New Roman" w:cs="Times New Roman" w:eastAsia="Times New Roman" w:hAnsi="Times New Roman"/>
          <w:sz w:val="18"/>
          <w:szCs w:val="18"/>
          <w:color w:val="auto"/>
        </w:rPr>
        <w:t>Except as described therein under “Company May Consolidate, Etc.,” the indentures require us to do or cause to be done all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73"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of financial information. </w:t>
      </w:r>
      <w:r>
        <w:rPr>
          <w:rFonts w:ascii="Times New Roman" w:cs="Times New Roman" w:eastAsia="Times New Roman" w:hAnsi="Times New Roman"/>
          <w:sz w:val="18"/>
          <w:szCs w:val="18"/>
          <w:color w:val="auto"/>
        </w:rPr>
        <w:t>The indentures require us to (i) within 30 days of each of the respective dates by which we are required to file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quarterly reports and other documents with the SEC, file with the trustee copies of the annual report, quarterly report and other documents that we file with the SEC under Section 13 or 15(d) of the Exchange Act and (ii) file with the trustee and the SEC any additional information, documents and reports regarding compliance by us with the conditions and covenants of the indentures, as required.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Additional covenants. </w:t>
      </w:r>
      <w:r>
        <w:rPr>
          <w:rFonts w:ascii="Times New Roman" w:cs="Times New Roman" w:eastAsia="Times New Roman" w:hAnsi="Times New Roman"/>
          <w:sz w:val="18"/>
          <w:szCs w:val="18"/>
          <w:color w:val="auto"/>
        </w:rPr>
        <w:t>The applicable prospectus supplement will set forth any of our additional covenants relating to any series of debt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90 days;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or make-whole amount on, any debt security of such series as and when the same shall become due and payable, whether at maturity, upon redemption, by declaration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any sinking fund payment as required for any debt security of such series as and when due and payable;</w:t>
      </w:r>
    </w:p>
    <w:p>
      <w:pPr>
        <w:spacing w:after="0" w:line="225"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90 days after written notice as provided in the applicable indenture, but not of a covenant added to the indenture solely for the benefit of a series of debt securities issued thereunder other than such series;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Notice of any such default shall be given to us by the trustee, or to us and the trustee by the holders of at least 25%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83" w:lineRule="exact"/>
        <w:rPr>
          <w:sz w:val="20"/>
          <w:szCs w:val="20"/>
          <w:color w:val="auto"/>
        </w:rPr>
      </w:pPr>
    </w:p>
    <w:p>
      <w:pPr>
        <w:ind w:left="660" w:right="4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matured installments of interest upon and the principal of (and premium, if any, on) all the outstanding debt securities of such series that shall have become other than by acceleration (with interest upon such principal and premium, if any, and upon overdue installments of interest), plus applicable fees, expenses, disbursements and advances of the applicable trustee; and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(and premium, if any) and accrued and unpaid interest on debt securities of such series, have been cured or waived.</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indentures require each trustee to give notice to the holders of debt securities within the later of 90 days after of a default occurs and 30 days after it is actually known to a trustee or written notice of it is received by the trustee,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8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Indentures</w:t>
      </w:r>
    </w:p>
    <w:p>
      <w:pPr>
        <w:spacing w:after="0" w:line="229" w:lineRule="exact"/>
        <w:rPr>
          <w:sz w:val="20"/>
          <w:szCs w:val="20"/>
          <w:color w:val="auto"/>
        </w:rPr>
      </w:pPr>
    </w:p>
    <w:p>
      <w:pPr>
        <w:ind w:right="240" w:firstLine="324"/>
        <w:spacing w:after="0" w:line="272" w:lineRule="auto"/>
        <w:rPr>
          <w:sz w:val="20"/>
          <w:szCs w:val="20"/>
          <w:color w:val="auto"/>
        </w:rPr>
      </w:pPr>
      <w:r>
        <w:rPr>
          <w:rFonts w:ascii="Times New Roman" w:cs="Times New Roman" w:eastAsia="Times New Roman" w:hAnsi="Times New Roman"/>
          <w:sz w:val="17"/>
          <w:szCs w:val="17"/>
          <w:color w:val="auto"/>
        </w:rPr>
        <w:t>The indentures provide that no modifications or amendments may, without the consent of each affected holder, impair the right of any holder of any debt security to (i) receive payment of the principal of (and premium, if any) and interest on the debt securities, as provided in the debt securities or indentures, on or after the respective due dates expressed in the debt securities or the indentures (or in the case of redemption, on the redemption date) or</w:t>
      </w:r>
    </w:p>
    <w:p>
      <w:pPr>
        <w:spacing w:after="0" w:line="2" w:lineRule="exact"/>
        <w:rPr>
          <w:sz w:val="20"/>
          <w:szCs w:val="20"/>
          <w:color w:val="auto"/>
        </w:rPr>
      </w:pPr>
    </w:p>
    <w:p>
      <w:pPr>
        <w:ind w:right="20" w:firstLine="8"/>
        <w:spacing w:after="0" w:line="260"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suit for the enforcement of any such payment on or after such respective dates or redemption date. Furthermore, no modification or amendment may, without the consent of the holders of all of the debt securities affected by the modification or amendment:</w:t>
      </w:r>
    </w:p>
    <w:p>
      <w:pPr>
        <w:spacing w:after="0" w:line="18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premium or make-whole amount on, or any installment of principal of or interest on, any such debt security, or reduce the amount of interest payable thereon or principal thereof;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any outstanding debt securities necessary to modify or amend the applicable indenture with respect to such debt securities.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each affected series may, on behalf of all holders of debt securities of that series, waive, insofar as that series is concerned, our compliance with material restrictive covenants of the applicable indenture.</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and our respective trustee may make modifications and amendments of an indenture without the consent of any holder of debt securities, including for any of the following purposes:</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such indenture in compliance with the Trust Indenture Act;</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all or any series of debt securities or to surrender any right or power conferred upon us in such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an indenture (i) to change or eliminate restrictions on the payment of principal of, or premium or make-whole amount, or interest on, debt securities in bearer form, (ii) to permit or facilitate the issuance of debt securities in uncertificated form, or (iii) that otherwise does not adversely affect the interests of the holders of the debt securities of any series in any material respect;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an indenture by more than one trustee;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an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subordinated debt securities will be subject to the following subordination provisions.</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8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162" w:lineRule="exact"/>
        <w:rPr>
          <w:sz w:val="20"/>
          <w:szCs w:val="20"/>
          <w:color w:val="auto"/>
        </w:rPr>
      </w:pPr>
    </w:p>
    <w:p>
      <w:pPr>
        <w:ind w:left="660" w:hanging="328"/>
        <w:spacing w:after="0" w:line="255"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and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stating the conditions to discharging the debt securities have been satisfied has been delivered to the trustee.</w:t>
      </w:r>
    </w:p>
    <w:p>
      <w:pPr>
        <w:spacing w:after="0" w:line="16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we may elect either:</w:t>
      </w:r>
    </w:p>
    <w:p>
      <w:pPr>
        <w:spacing w:after="0" w:line="187"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such debt securities; or</w:t>
      </w:r>
    </w:p>
    <w:p>
      <w:pPr>
        <w:spacing w:after="0" w:line="225"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with respect to such debt securities under the applicable indenture or, if provided in the applicable prospectus supplement, our obligations with respect to any other covenant, and any omission to comply with such obligations shall not constitute an event of default with respect to such debt securities.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we use the term “government obligations,” we mean securities that are:</w:t>
      </w:r>
    </w:p>
    <w:p>
      <w:pPr>
        <w:spacing w:after="0" w:line="225" w:lineRule="exact"/>
        <w:rPr>
          <w:sz w:val="20"/>
          <w:szCs w:val="20"/>
          <w:color w:val="auto"/>
        </w:rPr>
      </w:pPr>
    </w:p>
    <w:p>
      <w:pPr>
        <w:ind w:left="660" w:right="3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8"/>
          <w:szCs w:val="18"/>
          <w:color w:val="auto"/>
        </w:rPr>
        <w:t>When we use the term “conversion event,” we mean the cessation of use of:</w:t>
      </w:r>
    </w:p>
    <w:p>
      <w:pPr>
        <w:spacing w:after="0" w:line="225" w:lineRule="exact"/>
        <w:rPr>
          <w:sz w:val="20"/>
          <w:szCs w:val="20"/>
          <w:color w:val="auto"/>
        </w:rPr>
      </w:pPr>
    </w:p>
    <w:p>
      <w:pPr>
        <w:ind w:left="660" w:righ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Currency Unit both within the European Monetary System and for the settlement of transactions by public institutions of or within the European Communities;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ordinary shares or other securities of ours will be set forth in the applicable prospectus supplement. The terms will include whether the debt securities are convertible into ordinary shares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7" w:name="page58"/>
    <w:bookmarkEnd w:id="57"/>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at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Recourse</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There is no recourse under any obligation, covenant or agreement in the applicable indenture or with respect to any security against any of our or our successor’s past, present or future shareholders, employees, officers or directors.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ordinary shares, preference shares and/or debt securities in one or more series. We may issue warrants independently or together with ordinary shares, preference shares and/or debt securities, and the warrants may be attached to or separate from these securities.</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ordinary shares or preference shares, the number of ordinary shares or preference shares,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issue units comprised of ordinary shares, preference shares,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0" w:lineRule="exact"/>
        <w:rPr>
          <w:sz w:val="20"/>
          <w:szCs w:val="20"/>
          <w:color w:val="auto"/>
        </w:rPr>
      </w:pPr>
    </w:p>
    <w:p>
      <w:pPr>
        <w:ind w:left="660" w:right="12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Shares,” “Description of Debt Securities” and “Description of Warrants” will apply to the securities included in each unit, to the extent relevant and as may be updated in any prospectus supplements.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left="34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22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including modifying any provisions of the governing unit agreement that differ from those described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162" w:lineRule="exact"/>
        <w:rPr>
          <w:sz w:val="20"/>
          <w:szCs w:val="20"/>
          <w:color w:val="auto"/>
        </w:rPr>
      </w:pPr>
    </w:p>
    <w:p>
      <w:pPr>
        <w:ind w:left="660" w:right="1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225" w:lineRule="exact"/>
        <w:rPr>
          <w:sz w:val="20"/>
          <w:szCs w:val="20"/>
          <w:color w:val="auto"/>
        </w:rPr>
      </w:pPr>
    </w:p>
    <w:p>
      <w:pPr>
        <w:ind w:left="660" w:right="10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161" w:lineRule="exact"/>
        <w:rPr>
          <w:rFonts w:ascii="Times New Roman" w:cs="Times New Roman" w:eastAsia="Times New Roman" w:hAnsi="Times New Roman"/>
          <w:sz w:val="18"/>
          <w:szCs w:val="18"/>
          <w:color w:val="auto"/>
        </w:rPr>
      </w:pPr>
    </w:p>
    <w:p>
      <w:pPr>
        <w:jc w:val="both"/>
        <w:ind w:left="660" w:right="700" w:hanging="328"/>
        <w:spacing w:after="0" w:line="312" w:lineRule="auto"/>
        <w:tabs>
          <w:tab w:leader="none" w:pos="6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1" w:name="page62"/>
    <w:bookmarkEnd w:id="61"/>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unit agreements and the units will be governed by Delaware law.</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Unless the accompanying prospectus supplement states otherwise, 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the accompanying prospectus supplement states otherwise, each unit and all securities comprising the unit will be issued in the same form.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89" w:lineRule="exact"/>
        <w:rPr>
          <w:sz w:val="20"/>
          <w:szCs w:val="20"/>
          <w:color w:val="auto"/>
        </w:rPr>
      </w:pPr>
    </w:p>
    <w:p>
      <w:pPr>
        <w:ind w:left="660" w:right="2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9" w:lineRule="auto"/>
        <w:tabs>
          <w:tab w:leader="none" w:pos="6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157" w:lineRule="exact"/>
        <w:rPr>
          <w:rFonts w:ascii="Times New Roman" w:cs="Times New Roman" w:eastAsia="Times New Roman" w:hAnsi="Times New Roman"/>
          <w:sz w:val="17"/>
          <w:szCs w:val="17"/>
          <w:color w:val="auto"/>
        </w:rPr>
      </w:pPr>
    </w:p>
    <w:p>
      <w:pPr>
        <w:ind w:left="660" w:right="60" w:hanging="328"/>
        <w:spacing w:after="0" w:line="25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203"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 under the Securities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offering may be made into an existing trading market for such securities in transactions at other than a fixed price, either:</w:t>
      </w:r>
    </w:p>
    <w:p>
      <w:pPr>
        <w:spacing w:after="0" w:line="207" w:lineRule="exact"/>
        <w:rPr>
          <w:sz w:val="20"/>
          <w:szCs w:val="20"/>
          <w:color w:val="auto"/>
        </w:rPr>
      </w:pPr>
    </w:p>
    <w:p>
      <w:pPr>
        <w:ind w:left="660" w:right="4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Capital Market or any other securities exchange or quotation or trading service on which such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340" w:right="280" w:hanging="8"/>
        <w:spacing w:after="0" w:line="500" w:lineRule="auto"/>
        <w:tabs>
          <w:tab w:leader="none" w:pos="6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otherwise than on The Nasdaq Capital Market or such other securities exchanges or quotation or trading services. Such at the market offerings, if any, may be conducted by underwriters acting as principal or agent.</w:t>
      </w:r>
    </w:p>
    <w:p>
      <w:pPr>
        <w:spacing w:after="0" w:line="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6"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All securities we offer, other than our Class A Ordinary Shares and Class C Ordinary Shares, will be new issues of securities, and all securities we offer, other than our Class A Ordinary Shares, will have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Certain legal matters relating to U.S. law will be passed upon for us by Gibson, Dunn &amp; Crutcher LLP. The validity of the securities offered in this prospectus and certain other legal matters relating to Cayman Islands law will be passed upon for us by Walkers (Cayman) LLP. Additional legal matters may be passed upon for us or any underwriters, dealers or agents, by counsel that we will name in the applicable prospectus supplement.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MoonLake Immunotherapeutics as of and for the periods ended December 31, 2022 and 2021 incorporated by reference herein, have been audited by Baker Tilly US, LLP, an independent registered public accounting firm, as set forth in their report thereon incorporated by reference herein, in reliance upon such report and upon the authority of said firm as experts in accounting and auditing.</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also filed a registration statement on Form S-3, including exhibits, under the Securities Act with respect to the securities offered by this prospectus. This prospectus is a part of that registration statement, but does not contain all of the information included in the registration statement or the exhibits.</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You may access our annual reports on Form 10-K, quarterly reports on Form 10-Q, current reports on Form 8-K, proxy statements on Schedule 14A and amendments or supplements to those reports and statements, filed with the SEC, free of charge at our website at www.moonlaketx.com or by means of the SEC’s website at www.sec.gov. The information found on, or that can be accessed from or that is hyperlinked to, our website or the SEC’s website is not part of this prospectus and you should not rely on that information when making a decision to invest in our Class A Ordinary Shares.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and any prospectus supplement, periodic and current reports, proxy statements and other information filed or furnished with the SEC concerning the contents of any contract, agreement or other document is only a summary of the actual contract, agreement or other document. If we have filed any contract, document, agreement or other document as an exhibit to such filing or furnishing, you should read the exhibit for a more complete understanding of the document or matter involved. Each statement regarding a contract, agreement or other document is qualified in its entirety by reference to the actual document.</w:t>
      </w:r>
    </w:p>
    <w:p>
      <w:pPr>
        <w:spacing w:after="0" w:line="18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Upon written or oral request, we will provide without charge to each person to whom a copy of this prospectus is delivered a copy of the documents incorporated by reference herein (other than exhibits to such documents unless such exhibits are specifically incorporated by reference herein). You may request a copy of these filings, at no cost, by writing, calling or emailing us at the contact information set forth below. We have authorized no one to provide you with any information that differs from that contained in this prospectus. Accordingly, we take no responsibility for any other information that others may give you. You should not assume that the information in this prospectus is accurate as of any date other than the date of the front cover of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MoonLake Immunotherapeutics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Dorfstrasse 29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6300 Zug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41 415108022</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This prospectus incorporates by reference important business and financial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information referenced in this way is considered part of this prospectus. Any subsequent information filed with the SEC will automatically be deemed to update and supersede the information in this prospectus and in our other filings with the SEC. We incorporate by reference:</w:t>
      </w:r>
    </w:p>
    <w:p>
      <w:pPr>
        <w:spacing w:after="0" w:line="187"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2022, filed with the SEC on </w:t>
      </w:r>
      <w:hyperlink r:id="rId95">
        <w:r>
          <w:rPr>
            <w:rFonts w:ascii="Times New Roman" w:cs="Times New Roman" w:eastAsia="Times New Roman" w:hAnsi="Times New Roman"/>
            <w:sz w:val="18"/>
            <w:szCs w:val="18"/>
            <w:u w:val="single" w:color="auto"/>
            <w:color w:val="0000EE"/>
          </w:rPr>
          <w:t>March 20,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March 31, 2023, filed with the SEC on </w:t>
      </w:r>
      <w:hyperlink r:id="rId96">
        <w:r>
          <w:rPr>
            <w:rFonts w:ascii="Times New Roman" w:cs="Times New Roman" w:eastAsia="Times New Roman" w:hAnsi="Times New Roman"/>
            <w:sz w:val="18"/>
            <w:szCs w:val="18"/>
            <w:u w:val="single" w:color="auto"/>
            <w:color w:val="0000EE"/>
          </w:rPr>
          <w:t>May 11, 2023</w:t>
        </w:r>
      </w:hyperlink>
      <w:r>
        <w:rPr>
          <w:rFonts w:ascii="Times New Roman" w:cs="Times New Roman" w:eastAsia="Times New Roman" w:hAnsi="Times New Roman"/>
          <w:sz w:val="18"/>
          <w:szCs w:val="18"/>
          <w:color w:val="auto"/>
        </w:rPr>
        <w:t xml:space="preserve">, and the quarter ended June 30, 2023, filed with the SEC on </w:t>
      </w:r>
      <w:hyperlink r:id="rId97">
        <w:r>
          <w:rPr>
            <w:rFonts w:ascii="Times New Roman" w:cs="Times New Roman" w:eastAsia="Times New Roman" w:hAnsi="Times New Roman"/>
            <w:sz w:val="18"/>
            <w:szCs w:val="18"/>
            <w:u w:val="single" w:color="auto"/>
            <w:color w:val="0000EE"/>
          </w:rPr>
          <w:t>August 10, 2023</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98">
        <w:r>
          <w:rPr>
            <w:rFonts w:ascii="Times New Roman" w:cs="Times New Roman" w:eastAsia="Times New Roman" w:hAnsi="Times New Roman"/>
            <w:sz w:val="18"/>
            <w:szCs w:val="18"/>
            <w:u w:val="single" w:color="auto"/>
            <w:color w:val="0000EE"/>
          </w:rPr>
          <w:t>May 19, 2023</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EE"/>
          </w:rPr>
          <w:t>June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0">
        <w:r>
          <w:rPr>
            <w:rFonts w:ascii="Times New Roman" w:cs="Times New Roman" w:eastAsia="Times New Roman" w:hAnsi="Times New Roman"/>
            <w:sz w:val="18"/>
            <w:szCs w:val="18"/>
            <w:u w:val="single" w:color="auto"/>
            <w:color w:val="0000EE"/>
          </w:rPr>
          <w:t>June 29,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101">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as filed with the SEC on March 20, 2023, as may be further amended by any amendments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62" w:lineRule="exact"/>
        <w:rPr>
          <w:rFonts w:ascii="Times New Roman" w:cs="Times New Roman" w:eastAsia="Times New Roman" w:hAnsi="Times New Roman"/>
          <w:sz w:val="18"/>
          <w:szCs w:val="18"/>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any further filings we make with the SEC under Sections 13(a), 13(c), 14 or 15(d) of the Exchange Act (other than portions deemed to have been “furnished” and not filed with the SEC, including those made pursuant to Item 2.02 or Item 7.01 of Form 8-K or other information), including all filings filed after the date hereof and prior to the completion of the offering of all securities under this prospectus.</w:t>
      </w:r>
    </w:p>
    <w:p>
      <w:pPr>
        <w:spacing w:after="0" w:line="38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7" w:name="page68"/>
    <w:bookmarkEnd w:id="6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Pre-funded Warrants to Purchase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859790</wp:posOffset>
            </wp:positionV>
            <wp:extent cx="3566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156845</wp:posOffset>
            </wp:positionV>
            <wp:extent cx="2117090" cy="5657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21170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156845</wp:posOffset>
            </wp:positionV>
            <wp:extent cx="3566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50" w:lineRule="exact"/>
        <w:rPr>
          <w:sz w:val="20"/>
          <w:szCs w:val="20"/>
          <w:color w:val="auto"/>
        </w:rPr>
      </w:pPr>
    </w:p>
    <w:p>
      <w:pPr>
        <w:spacing w:after="0"/>
        <w:tabs>
          <w:tab w:leader="none" w:pos="2580" w:val="left"/>
          <w:tab w:leader="none" w:pos="6040" w:val="left"/>
          <w:tab w:leader="none" w:pos="8580" w:val="left"/>
        </w:tabs>
        <w:rPr>
          <w:sz w:val="20"/>
          <w:szCs w:val="20"/>
          <w:color w:val="auto"/>
        </w:rPr>
      </w:pPr>
      <w:r>
        <w:rPr>
          <w:rFonts w:ascii="Times New Roman" w:cs="Times New Roman" w:eastAsia="Times New Roman" w:hAnsi="Times New Roman"/>
          <w:sz w:val="18"/>
          <w:szCs w:val="18"/>
          <w:b w:val="1"/>
          <w:bCs w:val="1"/>
          <w:color w:val="auto"/>
        </w:rPr>
        <w:t>Leerink Partners</w:t>
      </w:r>
      <w:r>
        <w:rPr>
          <w:sz w:val="20"/>
          <w:szCs w:val="20"/>
          <w:color w:val="auto"/>
        </w:rPr>
        <w:tab/>
      </w:r>
      <w:r>
        <w:rPr>
          <w:rFonts w:ascii="Times New Roman" w:cs="Times New Roman" w:eastAsia="Times New Roman" w:hAnsi="Times New Roman"/>
          <w:sz w:val="18"/>
          <w:szCs w:val="18"/>
          <w:b w:val="1"/>
          <w:bCs w:val="1"/>
          <w:color w:val="auto"/>
        </w:rPr>
        <w:t>Guggenheim Securities</w:t>
      </w:r>
      <w:r>
        <w:rPr>
          <w:sz w:val="20"/>
          <w:szCs w:val="20"/>
          <w:color w:val="auto"/>
        </w:rPr>
        <w:tab/>
      </w:r>
      <w:r>
        <w:rPr>
          <w:rFonts w:ascii="Times New Roman" w:cs="Times New Roman" w:eastAsia="Times New Roman" w:hAnsi="Times New Roman"/>
          <w:sz w:val="18"/>
          <w:szCs w:val="18"/>
          <w:b w:val="1"/>
          <w:bCs w:val="1"/>
          <w:color w:val="auto"/>
        </w:rPr>
        <w:t>Cantor</w:t>
      </w:r>
      <w:r>
        <w:rPr>
          <w:sz w:val="20"/>
          <w:szCs w:val="20"/>
          <w:color w:val="auto"/>
        </w:rPr>
        <w:tab/>
      </w:r>
      <w:r>
        <w:rPr>
          <w:rFonts w:ascii="Times New Roman" w:cs="Times New Roman" w:eastAsia="Times New Roman" w:hAnsi="Times New Roman"/>
          <w:sz w:val="17"/>
          <w:szCs w:val="17"/>
          <w:b w:val="1"/>
          <w:bCs w:val="1"/>
          <w:color w:val="auto"/>
        </w:rPr>
        <w:t>LifeSci Capital</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448310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740"/>
      </w:cols>
      <w:pgMar w:left="1020" w:top="1116"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lowerRoman"/>
      <w:start w:val="2"/>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o"/>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lowerRoman"/>
      <w:start w:val="2"/>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upperLetter"/>
      <w:start w:val="1"/>
    </w:lvl>
  </w:abstractNum>
  <w:abstractNum w:abstractNumId="14">
    <w:nsid w:val="5577F8E1"/>
    <w:multiLevelType w:val="hybridMultilevel"/>
    <w:lvl w:ilvl="0">
      <w:lvlJc w:val="left"/>
      <w:lvlText w:val="%1."/>
      <w:numFmt w:val="upperLetter"/>
      <w:start w:val="2"/>
    </w:lvl>
  </w:abstractNum>
  <w:abstractNum w:abstractNumId="15">
    <w:nsid w:val="440BADFC"/>
    <w:multiLevelType w:val="hybridMultilevel"/>
    <w:lvl w:ilvl="0">
      <w:lvlJc w:val="left"/>
      <w:lvlText w:val="%1."/>
      <w:numFmt w:val="upperLetter"/>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lvl w:ilvl="1">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lowerRoman"/>
      <w:start w:val="2"/>
    </w:lvl>
    <w:lvl w:ilvl="1">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jpe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jpeg"/><Relationship Id="rId105" Type="http://schemas.openxmlformats.org/officeDocument/2006/relationships/image" Target="media/image82.png"/><Relationship Id="rId106" Type="http://schemas.openxmlformats.org/officeDocument/2006/relationships/image" Target="media/image83.png"/><Relationship Id="rId46" Type="http://schemas.openxmlformats.org/officeDocument/2006/relationships/hyperlink" Target="http://www.sec.gov/ix?doc=/Archives/edgar/data/0001821586/000182158626000002/mnlk-20251231.htm" TargetMode="External"/><Relationship Id="rId47" Type="http://schemas.openxmlformats.org/officeDocument/2006/relationships/hyperlink" Target="http://www.sec.gov/ix?doc=/Archives/edgar/data/0001821586/000182158626000007/mnlk-20260331.htm" TargetMode="External"/><Relationship Id="rId48" Type="http://schemas.openxmlformats.org/officeDocument/2006/relationships/hyperlink" Target="http://www.sec.gov/ix?doc=/Archives/edgar/data/0001821586/000121390026002344/ea0272252-8k_moonlake.htm" TargetMode="External"/><Relationship Id="rId49" Type="http://schemas.openxmlformats.org/officeDocument/2006/relationships/hyperlink" Target="http://www.sec.gov/ix?doc=/Archives/edgar/data/0001821586/000121390026018967/ea0277910-8k_moonlake.htm" TargetMode="External"/><Relationship Id="rId50" Type="http://schemas.openxmlformats.org/officeDocument/2006/relationships/hyperlink" Target="http://www.sec.gov/ix?doc=/Archives/edgar/data/0001821586/000121390026063125/ea0292693-8k_moonlake.htm" TargetMode="External"/><Relationship Id="rId51" Type="http://schemas.openxmlformats.org/officeDocument/2006/relationships/hyperlink" Target="http://www.sec.gov/ix?doc=/Archives/edgar/data/0001821586/000121390026066821/ea0294064-8k_moonlake.htm" TargetMode="External"/><Relationship Id="rId52" Type="http://schemas.openxmlformats.org/officeDocument/2006/relationships/hyperlink" Target="http://www.sec.gov/ix?doc=/Archives/edgar/data/1821586/000121390026070362/ea0295399-8k_moonlake.htm" TargetMode="External"/><Relationship Id="rId53" Type="http://schemas.openxmlformats.org/officeDocument/2006/relationships/hyperlink" Target="http://www.sec.gov/Archives/edgar/data/1821586/000182158626000002/mltx-exhibit4111.htm" TargetMode="External"/><Relationship Id="rId54" Type="http://schemas.openxmlformats.org/officeDocument/2006/relationships/hyperlink" Target="http://www.sec.gov/ix?doc=/Archives/edgar/data/1821586/000182158626000002/mnlk-20251231.htm" TargetMode="External"/><Relationship Id="rId95" Type="http://schemas.openxmlformats.org/officeDocument/2006/relationships/hyperlink" Target="http://www.sec.gov/ix?doc=/Archives/edgar/data/1821586/000182158623000007/mnlk-20221231.htm" TargetMode="External"/><Relationship Id="rId96" Type="http://schemas.openxmlformats.org/officeDocument/2006/relationships/hyperlink" Target="https://www.sec.gov/ix?doc=/Archives/edgar/data/0001821586/000182158623000012/mnlk-20230331.htm" TargetMode="External"/><Relationship Id="rId97" Type="http://schemas.openxmlformats.org/officeDocument/2006/relationships/hyperlink" Target="https://www.sec.gov/ix?doc=/Archives/edgar/data/0001821586/000182158623000015/mnlk-20230630.htm" TargetMode="External"/><Relationship Id="rId98" Type="http://schemas.openxmlformats.org/officeDocument/2006/relationships/hyperlink" Target="https://www.sec.gov/ix?doc=/Archives/edgar/data/0001821586/000121390023041556/ea178889-8k_moonlake.htm" TargetMode="External"/><Relationship Id="rId99" Type="http://schemas.openxmlformats.org/officeDocument/2006/relationships/hyperlink" Target="https://www.sec.gov/ix?doc=/Archives/edgar/data/0001821586/000121390023047184/ea179949-8k_moonlake.htm" TargetMode="External"/><Relationship Id="rId100" Type="http://schemas.openxmlformats.org/officeDocument/2006/relationships/hyperlink" Target="https://www.sec.gov/ix?doc=/Archives/edgar/data/0001821586/000162828023023905/mltx-20230627.htm" TargetMode="External"/><Relationship Id="rId101" Type="http://schemas.openxmlformats.org/officeDocument/2006/relationships/hyperlink" Target="https://www.sec.gov/Archives/edgar/data/1821586/000182158623000007/mltx_ex41tofy2022formxdes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2026-06-22T16:47:42Z</dcterms:created>
  <dcterms:modified xsi:type="dcterms:W3CDTF">2026-06-22T16:47:42Z</dcterms:modified>
</cp:coreProperties>
</file>