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ea0301024-s3asr_moonlake.htm"/>
      <w:bookmarkStart w:id="1" w:name="ksea0301024s3asr_moonlake"/>
      <w:bookmarkEnd w:id="0"/>
      <w:bookmarkEnd w:id="1"/>
      <w:r>
        <w:rPr>
          <w:rFonts w:ascii="Times New Roman;Times;Serif" w:hAnsi="Times New Roman;Times;Serif"/>
          <w:b/>
          <w:i w:val="false"/>
          <w:caps w:val="false"/>
          <w:smallCaps w:val="false"/>
          <w:sz w:val="20"/>
        </w:rPr>
        <w:t>As filed with the Securities and Exchange Commission on August 10, 2026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w:t>
      </w:r>
    </w:p>
    <w:p>
      <w:pPr>
        <w:pStyle w:val="TextBody"/>
        <w:bidi w:val="0"/>
        <w:jc w:val="center"/>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IMMUNOTHERAPEUTICS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6720" w:type="dxa"/>
        <w:jc w:val="left"/>
        <w:tblInd w:w="0" w:type="dxa"/>
        <w:tblLayout w:type="fixed"/>
        <w:tblCellMar>
          <w:top w:w="0" w:type="dxa"/>
          <w:left w:w="0" w:type="dxa"/>
          <w:bottom w:w="28" w:type="dxa"/>
          <w:right w:w="0" w:type="dxa"/>
        </w:tblCellMar>
      </w:tblPr>
      <w:tblGrid>
        <w:gridCol w:w="2495"/>
        <w:gridCol w:w="60"/>
        <w:gridCol w:w="2210"/>
        <w:gridCol w:w="60"/>
        <w:gridCol w:w="189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001-39630</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98-1711963</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Dorfstrasse 29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6300 Zug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Switzerland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41 415108022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 (Cayman)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 Elgin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George Town, Grand Cayman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KY1-9008, Cayman Islands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(345) 949-0100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Ryan A. Murr </w:t>
        <w:br/>
        <w:t xml:space="preserve">Branden C. Berns </w:t>
        <w:br/>
        <w:t xml:space="preserve">Gibson, Dunn &amp; Crutcher LLP </w:t>
        <w:br/>
        <w:t xml:space="preserve">One Embarcadero, Suite 2600 </w:t>
        <w:br/>
        <w:t xml:space="preserve">San Francisco, CA 94111-3715 </w:t>
        <w:br/>
        <w:t>(415) 393-8373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From time to time after this registration statement becomes effective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283"/>
        <w:jc w:val="left"/>
        <w:rPr/>
      </w:pPr>
      <w:r>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contains the following documents: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base prospectus which covers the offering, issuance and sale by us of an indeterminate amount of ordinary shares, preference shares, debt securities, warrants and/or units, in each case from time to time in one or more offerings;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sales agreement prospectus supplement covering the offering, issuance and sale by us of up to a maximum aggregate offering price of $300,000,000 of our Class A ordinary shares, par value $0.0001 per share, that may be issued and sold under that certain Sales Agreement, dated August 31, 2023, as amended by Amendment No. 1 to Sales Agreement, dated August 10, 2026, with Leerink Partners LLC (as amended, the “Sales Agreement”).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prospectus immediately follows this explanatory note. The specific terms of any securities to be offered pursuant to the base prospectus other than the shares under the Sales Agreement will be specified in a prospectus supplement to the base prospectus. The specific terms of the securities to be issued and sold under the Sales Agreement are specified in the sales agreement prospectus supplement that immediately follows the base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5267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2675" cy="628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IMMUNOTHERAPEUTICS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issue, in one or more series or classes, an indeterminate number of our ordinary shares, preference shares, debt securities, warrants and/or units, at prices and on terms that we will determine at the time of the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We may not sell any securities under this prospectus without delivery of the applicable prospectus supplement. If information in any prospectus supplement is inconsistent with the information in this prospectus, then the information in that prospectus supplement will apply and will supersede the information in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the applicable prospectus supplement and any related free writing prospectus carefully, as well as any documents incorporated by reference, before you invest in any of the securities being offered.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par value $0.0001 per share (“Class A Ordinary Shares”), are listed on The Nasdaq Capital Market under the symbol “MLTX.” The last reported sale price of our Class A Ordinary Shares on The Nasdaq Capital Market on August 7, 2026 was $18.26 per share. We recommend that you obtain current market quotations for our Class A Ordinary Shares prior to making an investment decision.</w:t>
      </w:r>
    </w:p>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under the heading “Risk Factors” contained in this prospectus beginning on page 2 and any applicable prospectus supplement, and under similar headings in the other documents that are incorporated by reference into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August 10,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firstLine="36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5765"/>
        <w:gridCol w:w="275"/>
      </w:tblGrid>
      <w:tr>
        <w:trPr/>
        <w:tc>
          <w:tcPr>
            <w:tcW w:w="5765" w:type="dxa"/>
            <w:tcBorders/>
            <w:shd w:fill="CCEEFF" w:val="clear"/>
            <w:vAlign w:val="center"/>
          </w:tcPr>
          <w:p>
            <w:pPr>
              <w:pStyle w:val="TableContents"/>
              <w:bidi w:val="0"/>
              <w:spacing w:before="0" w:after="283"/>
              <w:jc w:val="left"/>
              <w:rPr/>
            </w:pPr>
            <w:hyperlink w:anchor="P_001">
              <w:r>
                <w:rPr>
                  <w:rStyle w:val="InternetLink"/>
                  <w:rFonts w:ascii="Times New Roman;Times;Serif" w:hAnsi="Times New Roman;Times;Serif"/>
                  <w:sz w:val="20"/>
                </w:rPr>
                <w:t>ABOUT THIS PROSPECTUS</w:t>
              </w:r>
            </w:hyperlink>
          </w:p>
        </w:tc>
        <w:tc>
          <w:tcPr>
            <w:tcW w:w="275" w:type="dxa"/>
            <w:tcBorders/>
            <w:shd w:fill="CCEEFF" w:val="clear"/>
            <w:vAlign w:val="center"/>
          </w:tcPr>
          <w:p>
            <w:pPr>
              <w:pStyle w:val="TableContents"/>
              <w:bidi w:val="0"/>
              <w:spacing w:before="0" w:after="283"/>
              <w:jc w:val="center"/>
              <w:rPr/>
            </w:pPr>
            <w:r>
              <w:rPr/>
              <w:t>ii</w:t>
            </w:r>
          </w:p>
        </w:tc>
      </w:tr>
      <w:tr>
        <w:trPr/>
        <w:tc>
          <w:tcPr>
            <w:tcW w:w="5765" w:type="dxa"/>
            <w:tcBorders/>
            <w:shd w:fill="FFFFFF" w:val="clear"/>
            <w:vAlign w:val="center"/>
          </w:tcPr>
          <w:p>
            <w:pPr>
              <w:pStyle w:val="TableContents"/>
              <w:bidi w:val="0"/>
              <w:spacing w:before="0" w:after="283"/>
              <w:jc w:val="left"/>
              <w:rPr/>
            </w:pPr>
            <w:hyperlink w:anchor="P_002">
              <w:r>
                <w:rPr>
                  <w:rStyle w:val="InternetLink"/>
                  <w:rFonts w:ascii="Times New Roman;Times;Serif" w:hAnsi="Times New Roman;Times;Serif"/>
                  <w:sz w:val="20"/>
                </w:rPr>
                <w:t>SPECIAL NOTE REGARDING FORWARD-LOOKING STATEMENTS</w:t>
              </w:r>
            </w:hyperlink>
          </w:p>
        </w:tc>
        <w:tc>
          <w:tcPr>
            <w:tcW w:w="275" w:type="dxa"/>
            <w:tcBorders/>
            <w:shd w:fill="FFFFFF" w:val="clear"/>
            <w:vAlign w:val="center"/>
          </w:tcPr>
          <w:p>
            <w:pPr>
              <w:pStyle w:val="TableContents"/>
              <w:bidi w:val="0"/>
              <w:spacing w:before="0" w:after="283"/>
              <w:jc w:val="center"/>
              <w:rPr/>
            </w:pPr>
            <w:r>
              <w:rPr/>
              <w:t>iii</w:t>
            </w:r>
          </w:p>
        </w:tc>
      </w:tr>
      <w:tr>
        <w:trPr/>
        <w:tc>
          <w:tcPr>
            <w:tcW w:w="5765" w:type="dxa"/>
            <w:tcBorders/>
            <w:shd w:fill="CCEEFF" w:val="clear"/>
            <w:vAlign w:val="center"/>
          </w:tcPr>
          <w:p>
            <w:pPr>
              <w:pStyle w:val="TableContents"/>
              <w:bidi w:val="0"/>
              <w:spacing w:before="0" w:after="283"/>
              <w:jc w:val="left"/>
              <w:rPr/>
            </w:pPr>
            <w:hyperlink w:anchor="P_003">
              <w:r>
                <w:rPr>
                  <w:rStyle w:val="InternetLink"/>
                  <w:rFonts w:ascii="Times New Roman;Times;Serif" w:hAnsi="Times New Roman;Times;Serif"/>
                  <w:sz w:val="20"/>
                </w:rPr>
                <w:t>THE COMPANY</w:t>
              </w:r>
            </w:hyperlink>
          </w:p>
        </w:tc>
        <w:tc>
          <w:tcPr>
            <w:tcW w:w="275" w:type="dxa"/>
            <w:tcBorders/>
            <w:shd w:fill="CCEEFF" w:val="clear"/>
            <w:vAlign w:val="center"/>
          </w:tcPr>
          <w:p>
            <w:pPr>
              <w:pStyle w:val="TableContents"/>
              <w:bidi w:val="0"/>
              <w:spacing w:before="0" w:after="283"/>
              <w:jc w:val="center"/>
              <w:rPr/>
            </w:pPr>
            <w:r>
              <w:rPr/>
              <w:t>1</w:t>
            </w:r>
          </w:p>
        </w:tc>
      </w:tr>
      <w:tr>
        <w:trPr/>
        <w:tc>
          <w:tcPr>
            <w:tcW w:w="5765" w:type="dxa"/>
            <w:tcBorders/>
            <w:shd w:fill="FFFFFF" w:val="clear"/>
            <w:vAlign w:val="center"/>
          </w:tcPr>
          <w:p>
            <w:pPr>
              <w:pStyle w:val="TableContents"/>
              <w:bidi w:val="0"/>
              <w:spacing w:before="0" w:after="283"/>
              <w:jc w:val="left"/>
              <w:rPr/>
            </w:pPr>
            <w:hyperlink w:anchor="P_004">
              <w:r>
                <w:rPr>
                  <w:rStyle w:val="InternetLink"/>
                  <w:rFonts w:ascii="Times New Roman;Times;Serif" w:hAnsi="Times New Roman;Times;Serif"/>
                  <w:sz w:val="20"/>
                </w:rPr>
                <w:t>RISK FACTORS</w:t>
              </w:r>
            </w:hyperlink>
          </w:p>
        </w:tc>
        <w:tc>
          <w:tcPr>
            <w:tcW w:w="275" w:type="dxa"/>
            <w:tcBorders/>
            <w:shd w:fill="FFFFFF" w:val="clear"/>
            <w:vAlign w:val="center"/>
          </w:tcPr>
          <w:p>
            <w:pPr>
              <w:pStyle w:val="TableContents"/>
              <w:bidi w:val="0"/>
              <w:spacing w:before="0" w:after="283"/>
              <w:jc w:val="center"/>
              <w:rPr/>
            </w:pPr>
            <w:r>
              <w:rPr/>
              <w:t>2</w:t>
            </w:r>
          </w:p>
        </w:tc>
      </w:tr>
      <w:tr>
        <w:trPr/>
        <w:tc>
          <w:tcPr>
            <w:tcW w:w="5765" w:type="dxa"/>
            <w:tcBorders/>
            <w:shd w:fill="CCEEFF" w:val="clear"/>
            <w:vAlign w:val="center"/>
          </w:tcPr>
          <w:p>
            <w:pPr>
              <w:pStyle w:val="TableContents"/>
              <w:bidi w:val="0"/>
              <w:spacing w:before="0" w:after="283"/>
              <w:jc w:val="left"/>
              <w:rPr/>
            </w:pPr>
            <w:hyperlink w:anchor="P_005">
              <w:r>
                <w:rPr>
                  <w:rStyle w:val="InternetLink"/>
                  <w:rFonts w:ascii="Times New Roman;Times;Serif" w:hAnsi="Times New Roman;Times;Serif"/>
                  <w:sz w:val="20"/>
                </w:rPr>
                <w:t>USE OF PROCEEDS</w:t>
              </w:r>
            </w:hyperlink>
          </w:p>
        </w:tc>
        <w:tc>
          <w:tcPr>
            <w:tcW w:w="275" w:type="dxa"/>
            <w:tcBorders/>
            <w:shd w:fill="CCEEFF" w:val="clear"/>
            <w:vAlign w:val="center"/>
          </w:tcPr>
          <w:p>
            <w:pPr>
              <w:pStyle w:val="TableContents"/>
              <w:bidi w:val="0"/>
              <w:spacing w:before="0" w:after="283"/>
              <w:jc w:val="center"/>
              <w:rPr/>
            </w:pPr>
            <w:r>
              <w:rPr/>
              <w:t>3</w:t>
            </w:r>
          </w:p>
        </w:tc>
      </w:tr>
      <w:tr>
        <w:trPr/>
        <w:tc>
          <w:tcPr>
            <w:tcW w:w="5765" w:type="dxa"/>
            <w:tcBorders/>
            <w:shd w:fill="FFFFFF" w:val="clear"/>
            <w:vAlign w:val="center"/>
          </w:tcPr>
          <w:p>
            <w:pPr>
              <w:pStyle w:val="TableContents"/>
              <w:bidi w:val="0"/>
              <w:spacing w:before="0" w:after="283"/>
              <w:jc w:val="left"/>
              <w:rPr/>
            </w:pPr>
            <w:hyperlink w:anchor="P_006">
              <w:r>
                <w:rPr>
                  <w:rStyle w:val="InternetLink"/>
                  <w:rFonts w:ascii="Times New Roman;Times;Serif" w:hAnsi="Times New Roman;Times;Serif"/>
                  <w:sz w:val="20"/>
                </w:rPr>
                <w:t>SECURITIES WE MAY OFFER</w:t>
              </w:r>
            </w:hyperlink>
          </w:p>
        </w:tc>
        <w:tc>
          <w:tcPr>
            <w:tcW w:w="275" w:type="dxa"/>
            <w:tcBorders/>
            <w:shd w:fill="FFFFFF" w:val="clear"/>
            <w:vAlign w:val="center"/>
          </w:tcPr>
          <w:p>
            <w:pPr>
              <w:pStyle w:val="TableContents"/>
              <w:bidi w:val="0"/>
              <w:spacing w:before="0" w:after="283"/>
              <w:jc w:val="center"/>
              <w:rPr/>
            </w:pPr>
            <w:r>
              <w:rPr/>
              <w:t>4</w:t>
            </w:r>
          </w:p>
        </w:tc>
      </w:tr>
      <w:tr>
        <w:trPr/>
        <w:tc>
          <w:tcPr>
            <w:tcW w:w="5765" w:type="dxa"/>
            <w:tcBorders/>
            <w:shd w:fill="CCEEFF" w:val="clear"/>
            <w:vAlign w:val="center"/>
          </w:tcPr>
          <w:p>
            <w:pPr>
              <w:pStyle w:val="TableContents"/>
              <w:bidi w:val="0"/>
              <w:spacing w:before="0" w:after="283"/>
              <w:jc w:val="left"/>
              <w:rPr/>
            </w:pPr>
            <w:hyperlink w:anchor="P_007">
              <w:r>
                <w:rPr>
                  <w:rStyle w:val="InternetLink"/>
                  <w:rFonts w:ascii="Times New Roman;Times;Serif" w:hAnsi="Times New Roman;Times;Serif"/>
                  <w:sz w:val="20"/>
                </w:rPr>
                <w:t>DESCRIPTION OF SHARES</w:t>
              </w:r>
            </w:hyperlink>
          </w:p>
        </w:tc>
        <w:tc>
          <w:tcPr>
            <w:tcW w:w="275" w:type="dxa"/>
            <w:tcBorders/>
            <w:shd w:fill="CCEEFF" w:val="clear"/>
            <w:vAlign w:val="center"/>
          </w:tcPr>
          <w:p>
            <w:pPr>
              <w:pStyle w:val="TableContents"/>
              <w:bidi w:val="0"/>
              <w:spacing w:before="0" w:after="283"/>
              <w:jc w:val="center"/>
              <w:rPr/>
            </w:pPr>
            <w:r>
              <w:rPr/>
              <w:t>5</w:t>
            </w:r>
          </w:p>
        </w:tc>
      </w:tr>
      <w:tr>
        <w:trPr/>
        <w:tc>
          <w:tcPr>
            <w:tcW w:w="5765" w:type="dxa"/>
            <w:tcBorders/>
            <w:shd w:fill="FFFFFF" w:val="clear"/>
            <w:vAlign w:val="center"/>
          </w:tcPr>
          <w:p>
            <w:pPr>
              <w:pStyle w:val="TableContents"/>
              <w:bidi w:val="0"/>
              <w:spacing w:before="0" w:after="283"/>
              <w:jc w:val="left"/>
              <w:rPr/>
            </w:pPr>
            <w:hyperlink w:anchor="P_008">
              <w:r>
                <w:rPr>
                  <w:rStyle w:val="InternetLink"/>
                  <w:rFonts w:ascii="Times New Roman;Times;Serif" w:hAnsi="Times New Roman;Times;Serif"/>
                  <w:sz w:val="20"/>
                </w:rPr>
                <w:t>DESCRIPTION OF DEBT SECURITIES</w:t>
              </w:r>
            </w:hyperlink>
          </w:p>
        </w:tc>
        <w:tc>
          <w:tcPr>
            <w:tcW w:w="275" w:type="dxa"/>
            <w:tcBorders/>
            <w:shd w:fill="FFFFFF" w:val="clear"/>
            <w:vAlign w:val="center"/>
          </w:tcPr>
          <w:p>
            <w:pPr>
              <w:pStyle w:val="TableContents"/>
              <w:bidi w:val="0"/>
              <w:spacing w:before="0" w:after="283"/>
              <w:jc w:val="center"/>
              <w:rPr/>
            </w:pPr>
            <w:r>
              <w:rPr/>
              <w:t>11</w:t>
            </w:r>
          </w:p>
        </w:tc>
      </w:tr>
      <w:tr>
        <w:trPr/>
        <w:tc>
          <w:tcPr>
            <w:tcW w:w="5765" w:type="dxa"/>
            <w:tcBorders/>
            <w:shd w:fill="CCEEFF" w:val="clear"/>
            <w:vAlign w:val="center"/>
          </w:tcPr>
          <w:p>
            <w:pPr>
              <w:pStyle w:val="TableContents"/>
              <w:bidi w:val="0"/>
              <w:spacing w:before="0" w:after="283"/>
              <w:jc w:val="left"/>
              <w:rPr/>
            </w:pPr>
            <w:hyperlink w:anchor="P_009">
              <w:r>
                <w:rPr>
                  <w:rStyle w:val="InternetLink"/>
                  <w:rFonts w:ascii="Times New Roman;Times;Serif" w:hAnsi="Times New Roman;Times;Serif"/>
                  <w:sz w:val="20"/>
                </w:rPr>
                <w:t>DESCRIPTION OF WARRANTS</w:t>
              </w:r>
            </w:hyperlink>
          </w:p>
        </w:tc>
        <w:tc>
          <w:tcPr>
            <w:tcW w:w="275" w:type="dxa"/>
            <w:tcBorders/>
            <w:shd w:fill="CCEEFF" w:val="clear"/>
            <w:vAlign w:val="center"/>
          </w:tcPr>
          <w:p>
            <w:pPr>
              <w:pStyle w:val="TableContents"/>
              <w:bidi w:val="0"/>
              <w:spacing w:before="0" w:after="283"/>
              <w:jc w:val="center"/>
              <w:rPr/>
            </w:pPr>
            <w:r>
              <w:rPr/>
              <w:t>23</w:t>
            </w:r>
          </w:p>
        </w:tc>
      </w:tr>
      <w:tr>
        <w:trPr/>
        <w:tc>
          <w:tcPr>
            <w:tcW w:w="5765" w:type="dxa"/>
            <w:tcBorders/>
            <w:shd w:fill="FFFFFF" w:val="clear"/>
            <w:vAlign w:val="center"/>
          </w:tcPr>
          <w:p>
            <w:pPr>
              <w:pStyle w:val="TableContents"/>
              <w:bidi w:val="0"/>
              <w:spacing w:before="0" w:after="283"/>
              <w:jc w:val="left"/>
              <w:rPr/>
            </w:pPr>
            <w:hyperlink w:anchor="P_010">
              <w:r>
                <w:rPr>
                  <w:rStyle w:val="InternetLink"/>
                  <w:rFonts w:ascii="Times New Roman;Times;Serif" w:hAnsi="Times New Roman;Times;Serif"/>
                  <w:sz w:val="20"/>
                </w:rPr>
                <w:t>DESCRIPTION OF UNITS</w:t>
              </w:r>
            </w:hyperlink>
          </w:p>
        </w:tc>
        <w:tc>
          <w:tcPr>
            <w:tcW w:w="275" w:type="dxa"/>
            <w:tcBorders/>
            <w:shd w:fill="FFFFFF" w:val="clear"/>
            <w:vAlign w:val="center"/>
          </w:tcPr>
          <w:p>
            <w:pPr>
              <w:pStyle w:val="TableContents"/>
              <w:bidi w:val="0"/>
              <w:spacing w:before="0" w:after="283"/>
              <w:jc w:val="center"/>
              <w:rPr/>
            </w:pPr>
            <w:r>
              <w:rPr/>
              <w:t>24</w:t>
            </w:r>
          </w:p>
        </w:tc>
      </w:tr>
      <w:tr>
        <w:trPr/>
        <w:tc>
          <w:tcPr>
            <w:tcW w:w="5765" w:type="dxa"/>
            <w:tcBorders/>
            <w:shd w:fill="CCEEFF" w:val="clear"/>
            <w:vAlign w:val="center"/>
          </w:tcPr>
          <w:p>
            <w:pPr>
              <w:pStyle w:val="TableContents"/>
              <w:bidi w:val="0"/>
              <w:spacing w:before="0" w:after="283"/>
              <w:jc w:val="left"/>
              <w:rPr/>
            </w:pPr>
            <w:hyperlink w:anchor="P_011">
              <w:r>
                <w:rPr>
                  <w:rStyle w:val="InternetLink"/>
                  <w:rFonts w:ascii="Times New Roman;Times;Serif" w:hAnsi="Times New Roman;Times;Serif"/>
                  <w:sz w:val="20"/>
                </w:rPr>
                <w:t>PLAN OF DISTRIBUTION</w:t>
              </w:r>
            </w:hyperlink>
          </w:p>
        </w:tc>
        <w:tc>
          <w:tcPr>
            <w:tcW w:w="275" w:type="dxa"/>
            <w:tcBorders/>
            <w:shd w:fill="CCEEFF" w:val="clear"/>
            <w:vAlign w:val="center"/>
          </w:tcPr>
          <w:p>
            <w:pPr>
              <w:pStyle w:val="TableContents"/>
              <w:bidi w:val="0"/>
              <w:spacing w:before="0" w:after="283"/>
              <w:jc w:val="center"/>
              <w:rPr/>
            </w:pPr>
            <w:r>
              <w:rPr/>
              <w:t>27</w:t>
            </w:r>
          </w:p>
        </w:tc>
      </w:tr>
      <w:tr>
        <w:trPr/>
        <w:tc>
          <w:tcPr>
            <w:tcW w:w="5765" w:type="dxa"/>
            <w:tcBorders/>
            <w:shd w:fill="FFFFFF" w:val="clear"/>
            <w:vAlign w:val="center"/>
          </w:tcPr>
          <w:p>
            <w:pPr>
              <w:pStyle w:val="TableContents"/>
              <w:bidi w:val="0"/>
              <w:spacing w:before="0" w:after="283"/>
              <w:jc w:val="left"/>
              <w:rPr/>
            </w:pPr>
            <w:hyperlink w:anchor="P_012">
              <w:r>
                <w:rPr>
                  <w:rStyle w:val="InternetLink"/>
                  <w:rFonts w:ascii="Times New Roman;Times;Serif" w:hAnsi="Times New Roman;Times;Serif"/>
                  <w:sz w:val="20"/>
                </w:rPr>
                <w:t>LEGAL MATTERS</w:t>
              </w:r>
            </w:hyperlink>
          </w:p>
        </w:tc>
        <w:tc>
          <w:tcPr>
            <w:tcW w:w="275" w:type="dxa"/>
            <w:tcBorders/>
            <w:shd w:fill="FFFFFF" w:val="clear"/>
            <w:vAlign w:val="center"/>
          </w:tcPr>
          <w:p>
            <w:pPr>
              <w:pStyle w:val="TableContents"/>
              <w:bidi w:val="0"/>
              <w:spacing w:before="0" w:after="283"/>
              <w:jc w:val="center"/>
              <w:rPr/>
            </w:pPr>
            <w:r>
              <w:rPr/>
              <w:t>29</w:t>
            </w:r>
          </w:p>
        </w:tc>
      </w:tr>
      <w:tr>
        <w:trPr/>
        <w:tc>
          <w:tcPr>
            <w:tcW w:w="5765" w:type="dxa"/>
            <w:tcBorders/>
            <w:shd w:fill="CCEEFF" w:val="clear"/>
            <w:vAlign w:val="center"/>
          </w:tcPr>
          <w:p>
            <w:pPr>
              <w:pStyle w:val="TableContents"/>
              <w:bidi w:val="0"/>
              <w:spacing w:before="0" w:after="283"/>
              <w:jc w:val="left"/>
              <w:rPr/>
            </w:pPr>
            <w:hyperlink w:anchor="P_013">
              <w:r>
                <w:rPr>
                  <w:rStyle w:val="InternetLink"/>
                  <w:rFonts w:ascii="Times New Roman;Times;Serif" w:hAnsi="Times New Roman;Times;Serif"/>
                  <w:sz w:val="20"/>
                </w:rPr>
                <w:t>EXPERTS</w:t>
              </w:r>
            </w:hyperlink>
          </w:p>
        </w:tc>
        <w:tc>
          <w:tcPr>
            <w:tcW w:w="275" w:type="dxa"/>
            <w:tcBorders/>
            <w:shd w:fill="CCEEFF" w:val="clear"/>
            <w:vAlign w:val="center"/>
          </w:tcPr>
          <w:p>
            <w:pPr>
              <w:pStyle w:val="TableContents"/>
              <w:bidi w:val="0"/>
              <w:spacing w:before="0" w:after="283"/>
              <w:jc w:val="center"/>
              <w:rPr/>
            </w:pPr>
            <w:r>
              <w:rPr/>
              <w:t>29</w:t>
            </w:r>
          </w:p>
        </w:tc>
      </w:tr>
      <w:tr>
        <w:trPr/>
        <w:tc>
          <w:tcPr>
            <w:tcW w:w="5765" w:type="dxa"/>
            <w:tcBorders/>
            <w:shd w:fill="FFFFFF" w:val="clear"/>
            <w:vAlign w:val="center"/>
          </w:tcPr>
          <w:p>
            <w:pPr>
              <w:pStyle w:val="TableContents"/>
              <w:bidi w:val="0"/>
              <w:spacing w:before="0" w:after="283"/>
              <w:jc w:val="left"/>
              <w:rPr/>
            </w:pPr>
            <w:hyperlink w:anchor="P_014">
              <w:r>
                <w:rPr>
                  <w:rStyle w:val="InternetLink"/>
                  <w:rFonts w:ascii="Times New Roman;Times;Serif" w:hAnsi="Times New Roman;Times;Serif"/>
                  <w:sz w:val="20"/>
                </w:rPr>
                <w:t>WHERE YOU CAN FIND MORE INFORMATION</w:t>
              </w:r>
            </w:hyperlink>
          </w:p>
        </w:tc>
        <w:tc>
          <w:tcPr>
            <w:tcW w:w="275" w:type="dxa"/>
            <w:tcBorders/>
            <w:shd w:fill="FFFFFF" w:val="clear"/>
            <w:vAlign w:val="center"/>
          </w:tcPr>
          <w:p>
            <w:pPr>
              <w:pStyle w:val="TableContents"/>
              <w:bidi w:val="0"/>
              <w:spacing w:before="0" w:after="283"/>
              <w:jc w:val="center"/>
              <w:rPr/>
            </w:pPr>
            <w:r>
              <w:rPr/>
              <w:t>30</w:t>
            </w:r>
          </w:p>
        </w:tc>
      </w:tr>
      <w:tr>
        <w:trPr/>
        <w:tc>
          <w:tcPr>
            <w:tcW w:w="5765" w:type="dxa"/>
            <w:tcBorders/>
            <w:shd w:fill="CCEEFF" w:val="clear"/>
            <w:vAlign w:val="center"/>
          </w:tcPr>
          <w:p>
            <w:pPr>
              <w:pStyle w:val="TableContents"/>
              <w:bidi w:val="0"/>
              <w:spacing w:before="0" w:after="283"/>
              <w:jc w:val="left"/>
              <w:rPr/>
            </w:pPr>
            <w:hyperlink w:anchor="P_015">
              <w:r>
                <w:rPr>
                  <w:rStyle w:val="InternetLink"/>
                  <w:rFonts w:ascii="Times New Roman;Times;Serif" w:hAnsi="Times New Roman;Times;Serif"/>
                  <w:sz w:val="20"/>
                </w:rPr>
                <w:t>INCORPORATION OF CERTAIN INFORMATION BY REFERENCE</w:t>
              </w:r>
            </w:hyperlink>
          </w:p>
        </w:tc>
        <w:tc>
          <w:tcPr>
            <w:tcW w:w="275" w:type="dxa"/>
            <w:tcBorders/>
            <w:shd w:fill="CCEEFF" w:val="clear"/>
            <w:vAlign w:val="center"/>
          </w:tcPr>
          <w:p>
            <w:pPr>
              <w:pStyle w:val="TableContents"/>
              <w:bidi w:val="0"/>
              <w:spacing w:before="0" w:after="283"/>
              <w:jc w:val="center"/>
              <w:rPr/>
            </w:pPr>
            <w:r>
              <w:rPr/>
              <w:t>31</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an automatic shelf registration statement on Form S-3ASR that we filed with the Securities and Exchange Commission (the “SEC”) as a “well-known seasoned issuer” as defined in Rule 405 under the Securities Act of 1933, as amended (the “Securities Act”), utilizing a “shelf” registration process. Under this shelf registration process, we may sell any combination of the securities described in this prospectus from time to time in one or more offerings. This prospectus provides you with a general description of the securities we may offer.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both this prospectus and any prospectus supplement together with additional information under the headings “Where You Can Find More Information” and “Incorporation of Certain Information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or where otherwise indicated, references to “MoonLake,” “we,” “us,” “our,” “our Company,” “the Company” and “our business” refer to MoonLake Immunotherapeutics and its consolidated subsidiaries.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P_002"/>
      <w:bookmarkEnd w:id="3"/>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for purposes of federal securities laws. We intend such forward-looking statements to be covered by the safe harbor provisions for forward-looking statements contained in Section 27A of the Securities Act, and Section 21E of the Securities Exchange Act of 1934, as amended (the “Exchange Act”). All statements other than statements of historical fact contained in this prospectus, including, without limitation, statements regarding the following, are forward-looking statements: our future results of operations and financial position, our expectations regarding industry trends, the sufficiency of our cash and cash equivalents, the anticipated sources and uses of cash, the anticipated investments in our business, our business strategy, expectations regarding our clinical programs and the plans and objectives of management for future operations and capital expenditures.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“might,” “possible,”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Some of the information contained in this discussion and analysis or set forth elsewhere in this prospectus contain forward-looking statements that reflect our plans and strategy for our business and related financing. Our actual results and the timing of events could differ materially from those anticipated in the forward-looking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important risks, uncertainties and other factors that could cause actual results to differ materially from those in the forward-looking statements expressed or implied in this prospectus. Such risks, uncertainties and other factors include, among others, the risks, uncertainties and factors set forth in “Risk Factors,” and the following risks, uncertainties and factors:</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expected use of our existing cash and the net proceeds from the sale of the securities offered hereby;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potential impacts of raising additional capital, including dilution to our existing shareholders, restrictions on our operations or requirements that we relinquish rights to our technologies or product candidates;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9"/>
        <w:gridCol w:w="177"/>
        <w:gridCol w:w="9989"/>
      </w:tblGrid>
      <w:tr>
        <w:trPr/>
        <w:tc>
          <w:tcPr>
            <w:tcW w:w="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success in retaining or recruiting, or changes required in, our officers, key employees or directors;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factors relating to our business, operations and financial performance, including, but not limited 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are substantially dependent on the success of our novel tri-specific Nanobody®, Sonelokimab (“SLK”, also known as M1095/ALX 0761), which we license from Merck Healthcare KGaA, Darmstadt, Germany (“MHKDG”), an affiliate of Merck KGaA, Darmstadt, Germany;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obtain regulatory approval for our products, and any related restrictions or limitations of any approved products;</w:t>
            </w:r>
          </w:p>
        </w:tc>
      </w:tr>
    </w:tbl>
    <w:p>
      <w:pPr>
        <w:pStyle w:val="TextBody"/>
        <w:bidi w:val="0"/>
        <w:spacing w:before="0" w:after="283"/>
        <w:jc w:val="left"/>
        <w:rPr/>
      </w:pPr>
      <w:r>
        <w:rPr/>
        <w:t> </w:t>
      </w:r>
    </w:p>
    <w:tbl>
      <w:tblPr>
        <w:tblW w:w="10158" w:type="dxa"/>
        <w:jc w:val="left"/>
        <w:tblInd w:w="0" w:type="dxa"/>
        <w:tblLayout w:type="fixed"/>
        <w:tblCellMar>
          <w:top w:w="0" w:type="dxa"/>
          <w:left w:w="0" w:type="dxa"/>
          <w:bottom w:w="0" w:type="dxa"/>
          <w:right w:w="0" w:type="dxa"/>
        </w:tblCellMar>
      </w:tblPr>
      <w:tblGrid>
        <w:gridCol w:w="38"/>
        <w:gridCol w:w="140"/>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competition and competitive pressures from other global companies in the industries in which we operate;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have incurred significant losses since inception, and we expect to incur significant losses for the foreseeable future and may not be able to achieve or sustain profitability in the future;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428" w:type="dxa"/>
        <w:jc w:val="left"/>
        <w:tblInd w:w="0" w:type="dxa"/>
        <w:tblLayout w:type="fixed"/>
        <w:tblCellMar>
          <w:top w:w="0" w:type="dxa"/>
          <w:left w:w="0" w:type="dxa"/>
          <w:bottom w:w="0" w:type="dxa"/>
          <w:right w:w="0" w:type="dxa"/>
        </w:tblCellMar>
      </w:tblPr>
      <w:tblGrid>
        <w:gridCol w:w="38"/>
        <w:gridCol w:w="14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4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manage our growth effectively;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impact of adverse business and economic conditions including inflationary pressures, general economic slowdown or a recession, fluctuating interest rates, new or increased tariffs and other barriers to trade, changes in fiscal and monetary policy or government budget dynamics, the prospect of a shutdown of the United States federal government, conflicts in the Middle East, and significant volatility in commodity prices, including the price of oil and the responses thereto;</w:t>
            </w:r>
          </w:p>
        </w:tc>
      </w:tr>
    </w:tbl>
    <w:p>
      <w:pPr>
        <w:pStyle w:val="TextBody"/>
        <w:bidi w:val="0"/>
        <w:spacing w:before="0" w:after="283"/>
        <w:jc w:val="left"/>
        <w:rPr/>
      </w:pPr>
      <w:r>
        <w:rPr/>
        <w:t> </w:t>
      </w:r>
    </w:p>
    <w:tbl>
      <w:tblPr>
        <w:tblW w:w="10083" w:type="dxa"/>
        <w:jc w:val="left"/>
        <w:tblInd w:w="0" w:type="dxa"/>
        <w:tblLayout w:type="fixed"/>
        <w:tblCellMar>
          <w:top w:w="0" w:type="dxa"/>
          <w:left w:w="0" w:type="dxa"/>
          <w:bottom w:w="0" w:type="dxa"/>
          <w:right w:w="0" w:type="dxa"/>
        </w:tblCellMar>
      </w:tblPr>
      <w:tblGrid>
        <w:gridCol w:w="38"/>
        <w:gridCol w:w="14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while we have initiated and completed clinical trials, we have no products approved for commercial sale;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require substantial additional capital to finance our operations, and if we are unable to raise such capital when needed or on acceptable terms, we may be forced to delay, reduce, and/or eliminate one or more of our development programs or future commercialization efforts;</w:t>
            </w:r>
          </w:p>
        </w:tc>
      </w:tr>
    </w:tbl>
    <w:p>
      <w:pPr>
        <w:pStyle w:val="TextBody"/>
        <w:bidi w:val="0"/>
        <w:spacing w:before="0" w:after="283"/>
        <w:jc w:val="left"/>
        <w:rPr/>
      </w:pPr>
      <w:r>
        <w:rPr/>
        <w:t> </w:t>
      </w:r>
    </w:p>
    <w:tbl>
      <w:tblPr>
        <w:tblW w:w="3813" w:type="dxa"/>
        <w:jc w:val="left"/>
        <w:tblInd w:w="0" w:type="dxa"/>
        <w:tblLayout w:type="fixed"/>
        <w:tblCellMar>
          <w:top w:w="0" w:type="dxa"/>
          <w:left w:w="0" w:type="dxa"/>
          <w:bottom w:w="0" w:type="dxa"/>
          <w:right w:w="0" w:type="dxa"/>
        </w:tblCellMar>
      </w:tblPr>
      <w:tblGrid>
        <w:gridCol w:w="38"/>
        <w:gridCol w:w="14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3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renew existing contracts;</w:t>
            </w:r>
          </w:p>
        </w:tc>
      </w:tr>
    </w:tbl>
    <w:p>
      <w:pPr>
        <w:pStyle w:val="TextBody"/>
        <w:bidi w:val="0"/>
        <w:spacing w:before="0" w:after="283"/>
        <w:jc w:val="left"/>
        <w:rPr/>
      </w:pPr>
      <w:r>
        <w:rPr/>
        <w:t> </w:t>
      </w:r>
    </w:p>
    <w:tbl>
      <w:tblPr>
        <w:tblW w:w="2943" w:type="dxa"/>
        <w:jc w:val="left"/>
        <w:tblInd w:w="0" w:type="dxa"/>
        <w:tblLayout w:type="fixed"/>
        <w:tblCellMar>
          <w:top w:w="0" w:type="dxa"/>
          <w:left w:w="0" w:type="dxa"/>
          <w:bottom w:w="0" w:type="dxa"/>
          <w:right w:w="0" w:type="dxa"/>
        </w:tblCellMar>
      </w:tblPr>
      <w:tblGrid>
        <w:gridCol w:w="38"/>
        <w:gridCol w:w="14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2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limited operating history;</w:t>
            </w:r>
          </w:p>
        </w:tc>
      </w:tr>
    </w:tbl>
    <w:p>
      <w:pPr>
        <w:pStyle w:val="TextBody"/>
        <w:bidi w:val="0"/>
        <w:spacing w:before="0" w:after="283"/>
        <w:jc w:val="left"/>
        <w:rPr/>
      </w:pPr>
      <w:r>
        <w:rPr/>
        <w:t> </w:t>
      </w:r>
    </w:p>
    <w:tbl>
      <w:tblPr>
        <w:tblW w:w="5283" w:type="dxa"/>
        <w:jc w:val="left"/>
        <w:tblInd w:w="0" w:type="dxa"/>
        <w:tblLayout w:type="fixed"/>
        <w:tblCellMar>
          <w:top w:w="0" w:type="dxa"/>
          <w:left w:w="0" w:type="dxa"/>
          <w:bottom w:w="0" w:type="dxa"/>
          <w:right w:w="0" w:type="dxa"/>
        </w:tblCellMar>
      </w:tblPr>
      <w:tblGrid>
        <w:gridCol w:w="38"/>
        <w:gridCol w:w="14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5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respond to general economic conditions;</w:t>
            </w:r>
          </w:p>
        </w:tc>
      </w:tr>
    </w:tbl>
    <w:p>
      <w:pPr>
        <w:pStyle w:val="TextBody"/>
        <w:bidi w:val="0"/>
        <w:spacing w:before="0" w:after="283"/>
        <w:jc w:val="left"/>
        <w:rPr/>
      </w:pPr>
      <w:r>
        <w:rPr/>
        <w:t> </w:t>
      </w:r>
    </w:p>
    <w:tbl>
      <w:tblPr>
        <w:tblW w:w="8793" w:type="dxa"/>
        <w:jc w:val="left"/>
        <w:tblInd w:w="0" w:type="dxa"/>
        <w:tblLayout w:type="fixed"/>
        <w:tblCellMar>
          <w:top w:w="0" w:type="dxa"/>
          <w:left w:w="0" w:type="dxa"/>
          <w:bottom w:w="0" w:type="dxa"/>
          <w:right w:w="0" w:type="dxa"/>
        </w:tblCellMar>
      </w:tblPr>
      <w:tblGrid>
        <w:gridCol w:w="38"/>
        <w:gridCol w:w="14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86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litigation following periods of volatility in the marketplace or our share price; and</w:t>
            </w:r>
          </w:p>
        </w:tc>
      </w:tr>
    </w:tbl>
    <w:p>
      <w:pPr>
        <w:pStyle w:val="TextBody"/>
        <w:bidi w:val="0"/>
        <w:spacing w:before="0" w:after="283"/>
        <w:jc w:val="left"/>
        <w:rPr/>
      </w:pPr>
      <w:r>
        <w:rPr/>
        <w:t> </w:t>
      </w:r>
    </w:p>
    <w:tbl>
      <w:tblPr>
        <w:tblW w:w="6123" w:type="dxa"/>
        <w:jc w:val="left"/>
        <w:tblInd w:w="0" w:type="dxa"/>
        <w:tblLayout w:type="fixed"/>
        <w:tblCellMar>
          <w:top w:w="0" w:type="dxa"/>
          <w:left w:w="0" w:type="dxa"/>
          <w:bottom w:w="0" w:type="dxa"/>
          <w:right w:w="0" w:type="dxa"/>
        </w:tblCellMar>
      </w:tblPr>
      <w:tblGrid>
        <w:gridCol w:w="38"/>
        <w:gridCol w:w="14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59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ability to adequately protect our intellectual property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should not be construed as exhaustive and should be read in conjunction with the other factors described under the heading “Risk Factors” in this prospectus and the risk factors and cautionary statements described in other documents that we file from time to time with the SEC, specifically under the heading “Risk Factors” and elsewhere in our most recent Annual Report on Form 10-K, as may be updated by subsequent annual, quarterly and other reports that are incorporated by reference into this prospectus. You should evaluate all forward-looking statements made in this prospectus, including the documents we incorporate by reference, in the context of these risks, uncertainties and other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made as of the date hereof and we undertake no obligation to publicly update or review any forward-looking statement, whether as a result of new information, future developments or otherwise.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4" w:name="P_003"/>
      <w:bookmarkEnd w:id="4"/>
      <w:r>
        <w:rPr>
          <w:rFonts w:ascii="Times New Roman;Times;Serif" w:hAnsi="Times New Roman;Times;Serif"/>
          <w:b/>
          <w:i w:val="false"/>
          <w:caps w:val="false"/>
          <w:smallCaps w:val="false"/>
          <w:sz w:val="20"/>
          <w:bdr w:val="single" w:sz="12" w:space="5" w:color="000000"/>
        </w:rPr>
        <w:t>THE COMPANY</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clinical stage biotechnology company advancing therapies to address significant unmet needs in inflammatory skin and joint diseases. We are currently a single asset company focused on the development of SLK, a novel tri-specific IL-17A and IL-17F inhibiting Nanobody, that we exclusively licensed from MHKDG and that has the potential, based on response levels seen in clinical trials, to drive disease modification in dermatology and rheumatology patients.</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SLK is a proprietary Nanobody that was discovered by Ablynx N.V., Belgium, a Sanofi company (“Ablynx”), and previously studied by MHKDG and Avillion LLP under a 2017 co-development agreement. The terms “Nanobody” and “Nanobodies” used herein are registered trademarks of Ablynx. Nanobodies are able to bind selectively to a specific antigen with high affinity. Nanobodies have a fraction of the molecular weight compared to traditional antibodies. They offer a number of potential advantages over traditional monoclonal antibodies, including the potential to create multivalent molecules with enhanced ability to penetrate inflamed tissue, especially when containing an additional albumin binding domain such as SLK, an easier manufacturing process and a higher thermostability.</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currently develop SLK in inflammatory diseases in dermatology and rheumatology where the pathophysiology is known to be driven by IL-17A and IL-17F. This group of diseases comprises our current target diseases, hidradenitis suppurativa, psoriatic arthritis, axial spondyloarthritis, palmoplantar pustulosis, and several other inflammatory conditions, including psoriasis. Our current target diseases affect millions of people worldwide, and we believe there is a need for improved treatment options. We believe that SLK has a differentiated mechanism of action and that its purposefully designed molecular characteristics, including its small size and its albumin binding site, facilitate deep tissue penetration in the skin and joints. We envision SLK as a key therapeutic alternative in our initial target indications and potentially in multiple other IL-17 driven inflammatory conditions.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We were originally incorporated on August 13, 2020 in the Cayman Islands as a special purpose acquisition company under the name Helix Acquisition Corp., and our subsidiary, MoonLake Immunotherapeutics AG, a Swiss stock corporation (Aktiengesellschaft) registered with the commercial register of the Canton of Zug, Switzerland under the number CHE-433.093.536 (“MoonLake AG”), was incorporated in Switzerland in 2021. On April 5, 2022, MoonLake Immunotherapeutics (formerly known as Helix Acquisition Corp.) consummated the business combination pursuant to that certain Business Combination Agreement dated October 4, 2021 (the “Business Combination Agreement”), by and among Helix Acquisition Corp., MoonLake AG, the existing equityholders of MoonLake AG set forth on the signature pages to the Business Combination Agreement and equityholders of MoonLake AG that executed joinders to the Business Combination Agreement (collectively, the “ML Parties”), Helix Holdings LLC, a Cayman Islands limited liability company and the sponsor of Helix Acquisition Corp., and the representative of the ML Parties (such transactions contemplated by the Business Combination Agreement, collectively, the “Business Combination”). In connection with the consummation of the Business Combination, we changed our name from Helix Acquisition Corp. to MoonLake Immunotherapeutics. Our principal executive office is located in Dorfstrasse 29, 6300 Zug, Switzerland. Our website address is </w:t>
      </w:r>
      <w:r>
        <w:rPr>
          <w:rFonts w:ascii="Times New Roman;Times;Serif" w:hAnsi="Times New Roman;Times;Serif"/>
          <w:b w:val="false"/>
          <w:i/>
          <w:caps w:val="false"/>
          <w:smallCaps w:val="false"/>
          <w:sz w:val="20"/>
          <w:bdr w:val="single" w:sz="12" w:space="5" w:color="000000"/>
        </w:rPr>
        <w:t>www.moonlaketx.com</w:t>
      </w:r>
      <w:r>
        <w:rPr>
          <w:rFonts w:ascii="Times New Roman;Times;Serif" w:hAnsi="Times New Roman;Times;Serif"/>
          <w:b w:val="false"/>
          <w:i w:val="false"/>
          <w:caps w:val="false"/>
          <w:smallCaps w:val="false"/>
          <w:sz w:val="20"/>
          <w:bdr w:val="single" w:sz="12" w:space="5" w:color="000000"/>
        </w:rPr>
        <w:t>. Information contained on or accessible through our website is not a part of this prospectus. We have included our website in this prospectus solely as an inactive textual reference.</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P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that are incorporated by reference into this prospectus, as well as the risk factors and other information contained in or incorporated by reference into any accompanying prospectus supplement before investing in any of our securities. Our business, financial condition, results of operations, cash flows or prospects could be materially and adversely affected by any of these risks. The risks and uncertainties described in the documents incorporated by reference herein are not the only risks and uncertainties that you may face.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our SEC filings, please see “Where You Can Find More Information” and “Incorporation of Certain Information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P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offered hereby. Unless otherwise specified in a prospectus supplement accompanying this prospectus, the net proceeds from the sale by us of the securities to which this prospectus relates will be used as working capital, including continuing to advance our pipeline through preclinical studies, clinical trials, regulatory submissions, business development, commercial planning and commercialization, and for general corporate purposes. Our expected use of proceeds from the sale of the securities offered hereby represents our current intentions based on our present plans and business condition. As of the date of this prospectus, we cannot predict with certainty all of the particular uses for the proceeds to be received from the sale of the securities offered hereby or the amounts that we will actually spend on the uses set forth above.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use of the net proceeds, we may invest the proceeds in interest-bearing, investment-grade securities, certificates of deposit or government securities. When we offer and sell the securities to which this prospectus relates, the prospectus supplement related to such offering will set forth our intended use of the proceeds, if any, received from the sale of such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P_006"/>
      <w:bookmarkEnd w:id="7"/>
      <w:r>
        <w:rPr>
          <w:rFonts w:ascii="Times New Roman;Times;Serif" w:hAnsi="Times New Roman;Times;Serif"/>
          <w:b/>
          <w:i w:val="false"/>
          <w:caps w:val="false"/>
          <w:smallCaps w:val="false"/>
          <w:sz w:val="20"/>
        </w:rPr>
        <w:t>SECURITIES WE MAY OFFER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P_007"/>
      <w:bookmarkEnd w:id="8"/>
      <w:r>
        <w:rPr>
          <w:rFonts w:ascii="Times New Roman;Times;Serif" w:hAnsi="Times New Roman;Times;Serif"/>
          <w:b/>
          <w:i w:val="false"/>
          <w:caps w:val="false"/>
          <w:smallCaps w:val="false"/>
          <w:sz w:val="20"/>
        </w:rPr>
        <w:t>DESCRIPTION OF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description of the material provisions of our shares. Our Class A Ordinary Share is the only class of our securities registered pursuant to Section 12 of the Exchange Act. The following description of our shares does not purport to be complete and is subject to and qualified in its entirety by our Second Amended and Restated Memorandum and Articles of Association (the “MAA”) and the applicable provisions of the Companies Act of the Cayman Islands, as amended (the “Companies Act”). We encourage you to read the MAA and the applicable provisions of the Companies Act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MAA authorizes the issuance of up to 655,000,000 shares, consisting of:</w:t>
      </w:r>
    </w:p>
    <w:p>
      <w:pPr>
        <w:pStyle w:val="TextBody"/>
        <w:bidi w:val="0"/>
        <w:spacing w:before="0" w:after="283"/>
        <w:jc w:val="left"/>
        <w:rPr/>
      </w:pPr>
      <w:r>
        <w:rPr/>
        <w:t> </w:t>
      </w:r>
    </w:p>
    <w:tbl>
      <w:tblPr>
        <w:tblW w:w="3955" w:type="dxa"/>
        <w:jc w:val="left"/>
        <w:tblInd w:w="0" w:type="dxa"/>
        <w:tblLayout w:type="fixed"/>
        <w:tblCellMar>
          <w:top w:w="0" w:type="dxa"/>
          <w:left w:w="0" w:type="dxa"/>
          <w:bottom w:w="0" w:type="dxa"/>
          <w:right w:w="0" w:type="dxa"/>
        </w:tblCellMar>
      </w:tblPr>
      <w:tblGrid>
        <w:gridCol w:w="75"/>
        <w:gridCol w:w="170"/>
        <w:gridCol w:w="3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500,000,000 Class A Ordinary Shares;</w:t>
            </w:r>
          </w:p>
        </w:tc>
      </w:tr>
    </w:tbl>
    <w:p>
      <w:pPr>
        <w:pStyle w:val="TextBody"/>
        <w:bidi w:val="0"/>
        <w:spacing w:before="0" w:after="283"/>
        <w:jc w:val="left"/>
        <w:rPr/>
      </w:pPr>
      <w:r>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50,000,000 Class B ordinary shares, par value US$0.0001 per share (“Class B Ordinary Shares”);</w:t>
            </w:r>
          </w:p>
        </w:tc>
      </w:tr>
    </w:tbl>
    <w:p>
      <w:pPr>
        <w:pStyle w:val="TextBody"/>
        <w:bidi w:val="0"/>
        <w:spacing w:before="0" w:after="283"/>
        <w:jc w:val="left"/>
        <w:rPr/>
      </w:pPr>
      <w:r>
        <w:rPr/>
        <w:t> </w:t>
      </w:r>
    </w:p>
    <w:tbl>
      <w:tblPr>
        <w:tblW w:w="10060" w:type="dxa"/>
        <w:jc w:val="left"/>
        <w:tblInd w:w="0" w:type="dxa"/>
        <w:tblLayout w:type="fixed"/>
        <w:tblCellMar>
          <w:top w:w="0" w:type="dxa"/>
          <w:left w:w="0" w:type="dxa"/>
          <w:bottom w:w="0" w:type="dxa"/>
          <w:right w:w="0" w:type="dxa"/>
        </w:tblCellMar>
      </w:tblPr>
      <w:tblGrid>
        <w:gridCol w:w="75"/>
        <w:gridCol w:w="170"/>
        <w:gridCol w:w="9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100,000,000 Class C ordinary shares, par value US$0.0001 per share (“Class C Ordinary Shares”); and</w:t>
            </w:r>
          </w:p>
        </w:tc>
      </w:tr>
    </w:tbl>
    <w:p>
      <w:pPr>
        <w:pStyle w:val="TextBody"/>
        <w:bidi w:val="0"/>
        <w:spacing w:before="0" w:after="283"/>
        <w:jc w:val="left"/>
        <w:rPr/>
      </w:pPr>
      <w:r>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5,000,000 preference shares, par value US$0.0001 per share (“preference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winding up or dissolution of the Company, whether voluntary or involuntary or for the purposes of a reorganization or otherwise or upon any repayment or distribution of capital, the entitlement of the holders of Class C Ordinary Shares is determined in accordance with the MAA. Class C Ordinary Shares confer no other right to participate in the profits or assets of the Company (including, for the avoidance of doubt, any right to receive a dividend or other distribution).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carry the right to receive notice of and to attend, to speak at and to vote at any general meeting of the Company, rights in a winding up or repayment or distribution of capital and the right to participate in the profits or assets of the Company, in each case, in accordance with the MAA.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rights attached to any ordinary shares in the MAA, rights attaching to the Class A Ordinary Shares and the Class C Ordinary Shares rank pari passu in all respects, and the Class A Ordinary Shares and Class C Ordinary Shares vote together as a single class on all matters.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MAA authorizes 5,000,000 preference shares and provides that preference shares may be issued from time to time in one or more series. Our board of directors (the “Board”) is authorized to fix the voting rights, if any, designations, powers, preferences, the relative, participating, optional or other special rights and any qualifications, limitations and restrictions thereof, applicable to the shares of each series.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able to, without shareholder approval, issue preference shares with voting and other rights that could adversely affect the voting power and other rights of the holders of the ordinary shares and could have anti-takeover effects. The ability of the Board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share capital of the Company is divided into different classes of shares, all or any of the rights attached to any class (unless otherwise provided by the terms of issue of the shares of that class) may not, whether or not the Company is being wound up, be varied without the consent in writing of the holders of not less than two-thirds of the issued shares of that class, or the approval of a resolution passed by a majority of not less than two-thirds of the votes cast at a separate meeting of the holders of the shares of that class.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Class B Ordinary Shares and no Class C Ordinary Shares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Cayman Islands law, we keep a register of members that states: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names and addresses of the members, a statement of the shares held by each member and the amount paid or agreed to be considered as paid on the shares of each member and the voting rights of the shares of each member;</w:t>
            </w:r>
          </w:p>
        </w:tc>
      </w:tr>
    </w:tbl>
    <w:p>
      <w:pPr>
        <w:pStyle w:val="TextBody"/>
        <w:bidi w:val="0"/>
        <w:spacing w:before="0" w:after="283"/>
        <w:jc w:val="left"/>
        <w:rPr/>
      </w:pPr>
      <w:r>
        <w:rPr/>
        <w:t> </w:t>
      </w:r>
    </w:p>
    <w:tbl>
      <w:tblPr>
        <w:tblW w:w="5403" w:type="dxa"/>
        <w:jc w:val="left"/>
        <w:tblInd w:w="0" w:type="dxa"/>
        <w:tblLayout w:type="fixed"/>
        <w:tblCellMar>
          <w:top w:w="0" w:type="dxa"/>
          <w:left w:w="0" w:type="dxa"/>
          <w:bottom w:w="0" w:type="dxa"/>
          <w:right w:w="0" w:type="dxa"/>
        </w:tblCellMar>
      </w:tblPr>
      <w:tblGrid>
        <w:gridCol w:w="38"/>
        <w:gridCol w:w="17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whether voting rights are attached to the share in issue;</w:t>
            </w:r>
          </w:p>
        </w:tc>
      </w:tr>
    </w:tbl>
    <w:p>
      <w:pPr>
        <w:pStyle w:val="TextBody"/>
        <w:bidi w:val="0"/>
        <w:spacing w:before="0" w:after="283"/>
        <w:jc w:val="left"/>
        <w:rPr/>
      </w:pPr>
      <w:r>
        <w:rPr/>
        <w:t> </w:t>
      </w:r>
    </w:p>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date on which the name of any person was entered on the register as a member; and</w:t>
            </w:r>
          </w:p>
        </w:tc>
      </w:tr>
    </w:tbl>
    <w:p>
      <w:pPr>
        <w:pStyle w:val="TextBody"/>
        <w:bidi w:val="0"/>
        <w:spacing w:before="0" w:after="283"/>
        <w:jc w:val="left"/>
        <w:rPr/>
      </w:pPr>
      <w:r>
        <w:rPr/>
        <w:t> </w:t>
      </w:r>
    </w:p>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date on which any person ceased to be a member.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 register of members of our Company is prima facie evidence of the matters set out therein (i.e., the register of members raises a presumption of fact on the matters referred to above unless rebutted) and a member registered in the register of members is deemed as a matter of Cayman Islands law to have legal title to the shares as set against its name in the register of members.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Differences in Corporate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are governed by the Companies Act. The Companies Act is modeled on English Law but does not follow recent English Law statutory enactments, and differs from laws applicable to U.S. corporations and their shareholders. Set forth below is a summary of the material differences between the provisions of the Companies Act applicable to us and the laws applicable to companies incorporated in the United States and their shareholders.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In certain circumstances, the Companies Act permits mergers or consolidations between two Cayman Islands companies, or between a Cayman Islands exempted company and a company incorporated in another jurisdiction (provided that is permitted or not prohibited by the constitutional documents of the company incorporated in another jurisdiction and facilitated by the laws of that other jurisdiction) so as to form a single surviving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merger or consolidation is between two Cayman Islands companies, the directors of each company must approve and enter into a written plan of merger or consolidation containing certain prescribed information. That plan of merger or consolidation must then be authorized by (a) a special resolution (usually a majority of shareholders holding at least two-thirds of the voting shares voted at a general meeting) of the shareholders of each company; and (b) such other authorization, if any, as may be specified in such constituent company’s articles of association. No shareholder resolution is required for a merger between a parent company (i.e., a company that holds issued shares that together represent 90% of the votes at a general meeting of the subsidiary company) and its subsidiary company, provided the parent company is the surviving entity and a copy of the plan of merger is given to every member of each subsidiary company to be merged, unless that member agrees otherwise. The consent of each holder of a fixed or floating security interest of a constituent company must be obtained, unless the Cayman Islands court waives such requirement or makes such order as the Cayman Islands court otherwise considers reasonable. The directors of each company are required to provide a declaration of the assets and liabilities of the company made up to the latest practicable date before the making of the declaration, and are further required to make a declaration to the effect that: (i) the company is able to pay its debts as they fall due and that the merger or consolidation is bona fide and not intended to defraud unsecured creditors of the company; (ii) no petition or other similar proceeding has been filed and remains outstanding and that no order has been made or resolution adopted to wind up the company in any jurisdiction; (iii) no receiver, trustee, administrator or other similar person has been appointed in any jurisdiction and is acting in respect of the company, its affairs or its property or any part thereof; (iv) no scheme, order, compromise or other similar arrangement has been entered into or made in any jurisdiction whereby the rights of creditors of the company are and continue to be suspended or restricted; (v) in the case of a constituent company that is not a surviving company, the constituent company has retired from any fiduciary office held or will do so immediately prior to the merger or consolidation; and (vi) where relevant, the company has complied with any applicable requirements under Cayman Islands regulatory laws. If the Cayman Islands Registrar of Companies is satisfied that the requirements of the Companies Act (which includes certain other formalities) have been complied with, the Registrar of Companies will register the plan of merger or consolidation.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merger or consolidation involves a foreign company and the surviving company is the Cayman Islands exempted company, the procedure is similar, save that where the surviving or consolidated company is the Cayman Islands exempted company, the Cayman Islands Registrar of Companies is required to be satisfied in respect of any constituent overseas company that: (i)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no petition or other similar proceeding has been filed and remains outstanding or order made or resolution adopted to wind up or liquidate the foreign company in the jurisdiction in which the foreign company is existing; (iii) no receiver, trustee, administrator or other similar person has been appointed in any jurisdiction and is acting in respect of the foreign company, its affairs or its property or any part thereof; (iv) no scheme, order, compromise or other similar arrangement has been entered into or made in any jurisdiction whereby the rights of creditors of the foreign company are and continue to be suspended or restricted; (v) the foreign company is able to pay its debts as they fall due and that the merger or consolidation is bona fide and not intended to defraud unsecured creditors of the foreign company; (vi)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(vii) the foreign company will, upon the merger or consolidation becoming effective, cease to be incorporated, registered or exist under the laws of the relevant foreign jurisdiction; and (viii) there is no other reason why it would be against the public interest to permit the merger or consolidation. The requirements set out in sections (i) to (vii) above shall be met by a director of the Cayman Islands exempted company making a declaration to the effect that, having made due enquiry, they are of the opinion that such requirements have been met, such declaration to include a statement of the assets and liabilities of the foreign company made up to the latest practicable date before making the declaration.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above procedures are adopted, the Companies Act provides for a right of dissenting shareholders to be paid a payment of the fair value of their shares upon their dissenting to the merger or consolidation if they follow a prescribed procedure. In essence, that procedure is as follows: (a) the shareholder must give their written objection to the merger or consolidation to the constituent company before the vote on the merger or consolidation, including a statement that the shareholder proposes to demand payment for their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their intention to dissent including, among other details, a demand for payment of the fair value of their shares; (d) within seven days following the date of the expiration of the period set out in paragraph (c) above or within seven days following the date on which the plan of merger or consolidation is filed, whichever is later, the constituent company, the surviving company or the consolidated company must make a written offer to each dissenting shareholder to purchase their shares at a price that the company determines is the fair value and if the company and the shareholder agree to the price within 30 days following the date on which the offer was made, the company must pay the shareholder such amount; and (e) if the company and the shareholder fail to agree to a price within such 30 day period, within 20 days following the date on which such 30 day period expires, the company shall (and any dissenting shareholder may)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Cayman Islands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(i) in respect of a scheme of arrangement proposed between a company and its shareholders (or any class of shareholder), 75% in value of the shareholders (or each class of shareholder) who attend and vote, either in person or by proxy, at a meeting (or meetings) convened for that purpose; or (ii) a scheme of arrangement proposed between a company and its creditors (or any class of creditors), a majority in number representing 75% in value of the creditors (or each class of creditors) who attend and vote, either in person or by proxy, at a meeting (or meetings) convened for that purpose. The convening of the meetings and subsequently the terms of the arrangement must be sanctioned by the Cayman Islands court. While a dissenting shareholder would have the right to express to the Cayman Islands court the view that the scheme of arrangement should not be sanctioned, the Cayman Islands court may be expected to sanction the scheme of arrangement if it satisfies itself that: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is not proposing to act illegally or beyond the scope of its corporate authority and the statutory provisions as to dual majority vote have been complied with;</w:t>
            </w:r>
          </w:p>
        </w:tc>
      </w:tr>
    </w:tbl>
    <w:p>
      <w:pPr>
        <w:pStyle w:val="TextBody"/>
        <w:bidi w:val="0"/>
        <w:spacing w:before="0" w:after="283"/>
        <w:jc w:val="left"/>
        <w:rPr/>
      </w:pPr>
      <w:r>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shareholders have been fairly represented at the meeting in question;</w:t>
            </w:r>
          </w:p>
        </w:tc>
      </w:tr>
    </w:tbl>
    <w:p>
      <w:pPr>
        <w:pStyle w:val="TextBody"/>
        <w:bidi w:val="0"/>
        <w:spacing w:before="0" w:after="283"/>
        <w:jc w:val="left"/>
        <w:rPr/>
      </w:pPr>
      <w:r>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arrangement is such as a businessman would reasonably approve;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arrangement is not one that would more properly be sanctioned under some other provision of the Companies Act or that would amount to a “fraud on the minority.”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scheme of arrangement is sanctioned by the Cayman Islands court, the scheme of arrangement will be binding on all of the shareholders (or each class of shareholder) or creditors (or each class of creditor).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scheme of arrangement or takeover offer (as described below) is sanctioned by the Cayman Islands court,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Squeeze-out Provisions</w:t>
      </w:r>
      <w:r>
        <w:rPr>
          <w:rFonts w:ascii="Times New Roman;Times;Serif" w:hAnsi="Times New Roman;Times;Serif"/>
          <w:b w:val="false"/>
          <w:i w:val="false"/>
          <w:caps w:val="false"/>
          <w:smallCaps w:val="false"/>
          <w:sz w:val="20"/>
        </w:rPr>
        <w:t>. When a takeover offer is made and accepted by holders of 90% or more in value of the shares to whom the offer relates within four months, the offeror may, within a two-month period after the expiration of the initial four-month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Appraisal Rights</w:t>
      </w:r>
      <w:r>
        <w:rPr>
          <w:rFonts w:ascii="Times New Roman;Times;Serif" w:hAnsi="Times New Roman;Times;Serif"/>
          <w:b w:val="false"/>
          <w:i w:val="false"/>
          <w:caps w:val="false"/>
          <w:smallCaps w:val="false"/>
          <w:sz w:val="20"/>
        </w:rPr>
        <w:t>. Our shareholders have no rights comparable to appraisal rights, which might otherwise ordinarily be available to dissenting shareholders of United States corporations and allow such dissenting shareholders to receive payment in cash for the judicially determined value of the shares. However, appraisal rights would also not be available to shareholders of a Delaware target in a business combination transaction if the shares of the target were listed on a national securities exchange and target shareholders receive only shares of a corporation which shares are also listed on a national securities exchange.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w:t>
      </w:r>
      <w:r>
        <w:rPr>
          <w:rFonts w:ascii="Times New Roman;Times;Serif" w:hAnsi="Times New Roman;Times;Serif"/>
          <w:b w:val="false"/>
          <w:i w:val="false"/>
          <w:caps w:val="false"/>
          <w:smallCaps w:val="false"/>
          <w:sz w:val="20"/>
        </w:rPr>
        <w:t xml:space="preserve"> In most cases, under Cayman Islands law, the Company will be the proper plaintiff in any claim based on a breach of duty owed to it, and a claim against (for example) the Company’s directors or officers usually may not be brought by a shareholder: in principle, a shareholder does not have a direct right of action against directors of the Company. However, based on Cayman Islands authorities and English authorities (which will be of persuasive authority in the Cayman Islands), there are exceptions to the foregoing principle such that a shareholder may be entitled to bring a derivative action on behalf of the Company, but only in limited circumstances, including but not limited to: the Company acts or proposes to act illegally or ultra vires; the act complained of (although not ultra vires) could be affected if duly authorised by a special resolution that has not been obtained; and those who control the Company are perpetuating a “fraud on the minority.” A shareholder may have a direct right of action against the Company where the individual rights of that shareholder have been or will be infringed. Derivative actions have been brought in the Cayman Islands courts, and the Cayman Islands courts have confirmed the availability for such 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have a direct right of action against us where the individual rights of that shareholder have been infringed or are about to be infringed or where the directors have exercised their powers for an improper purpose.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Enforcement of Civil Liabilities</w:t>
      </w:r>
      <w:r>
        <w:rPr>
          <w:rFonts w:ascii="Times New Roman;Times;Serif" w:hAnsi="Times New Roman;Times;Serif"/>
          <w:b w:val="false"/>
          <w:i w:val="false"/>
          <w:caps w:val="false"/>
          <w:smallCaps w:val="false"/>
          <w:sz w:val="20"/>
        </w:rPr>
        <w:t>. The Cayman Islands has a different body of securities laws as compared to the United States and provides less protection to investors. Additionally, Cayman Islands companies may not have standing to sue before the Federal courts of the United States.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the courts of the Cayman Islands will recognize and enforce against the us, our directors and/or executive officers in the United States judgments obtained in the United States courts predicated upon the civil liability provisions of the securities laws of the United States. We have been advised by Walkers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in the United States; and (ii) in original actions brought in the Cayman Islands, to impose liabilities against us predicated upon the civil liability provisions of the federal securities laws of the United States or any state in the United States, so far as the liabilities imposed by those provisions are penal in nature. In those circumstances, although there is no statutory enforcement in the Cayman Islands of judgments obtained in the United States (and the Cayman Islands are not a party to any treaties for the reciprocal enforcement or recognition of such judgments with the United States), the courts of the Cayman Islands may, by an action commenced on the judgment obtained in the United States in the courts of the Cayman Islands,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the court must have had proper jurisdiction over the parties subject to such judgment as a matter of Cayman Islands conflict of law rules, and such judgment must be final and conclusive and for a liquidated sum, and must not be in respect of multiple damages, taxes or a fine or penalty, or other charges of a like nature, inconsistent with a Cayman Islands judgment in respect of the same matter, impeachable on the grounds of fraud or obtained in a manner, and/or be of a kind the enforcement of which is contrary to natural justice or the public policy of the Cayman Islands (awards of punitive or multiple damages may well be held to be contrary to public policy), no new admissible evidence relevant to the action is submitted prior to the rendering of the judgment by the courts of the Cayman Islands; and there is due compliance with the correct procedures under the laws of the Cayman Islands. A Cayman Islands Court may stay enforcement proceedings if concurrent proceedings are being brought elsewhere.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Considerations for Exempted Companies</w:t>
      </w:r>
      <w:r>
        <w:rPr>
          <w:rFonts w:ascii="Times New Roman;Times;Serif" w:hAnsi="Times New Roman;Times;Serif"/>
          <w:b w:val="false"/>
          <w:i w:val="false"/>
          <w:caps w:val="false"/>
          <w:smallCaps w:val="false"/>
          <w:sz w:val="20"/>
        </w:rPr>
        <w:t>. The Company is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the MAA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MAA provides that the Board be classified into three classes of directors, each to be elected for a three-year term.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preference shares could render more difficult or discourage an attempt to obtain control of us by means of a proxy contest, tender offer, merger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a person who has beneficially owned restricted shares for at least six months is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shares for at least six months but who are our affiliates at the time of, or at any time during the three months preceding, a sale, are subject to additional restrictions, by which such person would be entitled to sell within any three-month period only a number of securities that does not exceed the greater of:</w:t>
      </w:r>
    </w:p>
    <w:p>
      <w:pPr>
        <w:pStyle w:val="TextBody"/>
        <w:bidi w:val="0"/>
        <w:spacing w:before="0" w:after="283"/>
        <w:jc w:val="left"/>
        <w:rPr/>
      </w:pPr>
      <w:r>
        <w:rPr/>
        <w:t> </w:t>
      </w:r>
    </w:p>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 of the total number of ordinary shares then outstanding;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average weekly reported trading volume of the Class A Ordinary Shares during the four calendar weeks preceding the filing of a notice on Form 144 with respect to the sale.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our affiliates under Rule 144 are also limited by manner of sale provisions and notice requirements and to the availability of current public information about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the Use of Rule 144 by Shell Companies or Former Shell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bidi w:val="0"/>
        <w:spacing w:before="0" w:after="283"/>
        <w:jc w:val="left"/>
        <w:rPr/>
      </w:pPr>
      <w:r>
        <w:rPr/>
        <w:t> </w:t>
      </w:r>
    </w:p>
    <w:tbl>
      <w:tblPr>
        <w:tblW w:w="9198" w:type="dxa"/>
        <w:jc w:val="left"/>
        <w:tblInd w:w="0" w:type="dxa"/>
        <w:tblLayout w:type="fixed"/>
        <w:tblCellMar>
          <w:top w:w="0" w:type="dxa"/>
          <w:left w:w="0" w:type="dxa"/>
          <w:bottom w:w="0" w:type="dxa"/>
          <w:right w:w="0" w:type="dxa"/>
        </w:tblCellMar>
      </w:tblPr>
      <w:tblGrid>
        <w:gridCol w:w="38"/>
        <w:gridCol w:w="17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issuer of the securities that was formerly a shell company has ceased to be a shell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issuer of the securities is subject to the reporting requirements of Section 13 or 15(d) of the Exchange Act;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least one year has elapsed from the time that the issuer filed current Form 10 type information with the SEC reflecting its status as an entity that is not a shell company.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initial shareholders have been able to sell their founder shares and private placement shares, as applicable, pursuant to Rule 144 without registration since April 5, 2023, one year after the date we completed the 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 longer a shell company, and the conditions set forth in the exceptions listed above have been satisfied. Accordingly, Rule 144 is available for the resale of the above noted restricted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Class A Ordinary Shares and Class C Ordinary Shares is Continental Stock Transfer &amp; Trust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P_008"/>
      <w:bookmarkEnd w:id="9"/>
      <w:r>
        <w:rPr>
          <w:rFonts w:ascii="Times New Roman;Times;Serif" w:hAnsi="Times New Roman;Times;Serif"/>
          <w:b/>
          <w:i w:val="false"/>
          <w:caps w:val="false"/>
          <w:smallCaps w:val="false"/>
          <w:sz w:val="20"/>
        </w:rPr>
        <w:t>DESCRIPTION OF DEBT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senior or subordinated debt securities.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(the “Trust Indenture Act”). We included copies of the forms of the indentures as exhibits to our registration statement and they are incorporated into this prospectus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w:t>
      </w:r>
    </w:p>
    <w:p>
      <w:pPr>
        <w:pStyle w:val="TextBody"/>
        <w:bidi w:val="0"/>
        <w:spacing w:before="0" w:after="283"/>
        <w:jc w:val="left"/>
        <w:rPr/>
      </w:pPr>
      <w:r>
        <w:rPr/>
        <w:t> </w:t>
      </w:r>
    </w:p>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 not limit the amount of debt securities that we may issue;</w:t>
            </w:r>
          </w:p>
        </w:tc>
      </w:tr>
    </w:tbl>
    <w:p>
      <w:pPr>
        <w:pStyle w:val="TextBody"/>
        <w:bidi w:val="0"/>
        <w:spacing w:before="0" w:after="283"/>
        <w:jc w:val="left"/>
        <w:rPr/>
      </w:pPr>
      <w:r>
        <w:rPr/>
        <w:t> </w:t>
      </w:r>
    </w:p>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 us to issue debt securities in one or more series;</w:t>
            </w:r>
          </w:p>
        </w:tc>
      </w:tr>
    </w:tbl>
    <w:p>
      <w:pPr>
        <w:pStyle w:val="TextBody"/>
        <w:bidi w:val="0"/>
        <w:spacing w:before="0" w:after="283"/>
        <w:jc w:val="left"/>
        <w:rPr/>
      </w:pPr>
      <w:r>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 not require us to issue all of the debt securities of a series at the same time;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 us to reopen a series to issue additional debt securities without the consent of the holders of the debt securities of such series.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give you different information in the applicable prospectus supplement, the senior debt securities will be unsubordinated obligations and will rank equally with all of our other senior unsecured and unsubordinated indebtedness. Payments on the subordinated debt securities will be subordinated to the prior payment in full of all of our senior indebtedness, as described under “Description of Debt Securities—Subordination” and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for each offering will provide the following terms, where applicable:</w:t>
      </w:r>
    </w:p>
    <w:p>
      <w:pPr>
        <w:pStyle w:val="TextBody"/>
        <w:bidi w:val="0"/>
        <w:spacing w:before="0" w:after="283"/>
        <w:jc w:val="left"/>
        <w:rPr/>
      </w:pPr>
      <w:r>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title of the debt securities and whether they are senior or subordinated;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ordinary shares or other securities of ours or the method by which any such portion shall be determined;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convertible, the terms on which such debt securities are convertible, including the initial conversion price or rate and the conversion period and any applicable limitations on the ownership or transferability of ordinary shares or other securities of ours received on conversion;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date or dates, or the method for determining the date or dates, on which the principal of the debt securities will be payable;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fixed or variable interest rate or rates of the debt securities, or the method by which the interest rate or rates is determined;</w:t>
            </w:r>
          </w:p>
        </w:tc>
      </w:tr>
    </w:tbl>
    <w:p>
      <w:pPr>
        <w:pStyle w:val="TextBody"/>
        <w:bidi w:val="0"/>
        <w:spacing w:before="0" w:after="283"/>
        <w:jc w:val="left"/>
        <w:rPr/>
      </w:pPr>
      <w:r>
        <w:rPr/>
        <w:t> </w:t>
      </w:r>
    </w:p>
    <w:tbl>
      <w:tblPr>
        <w:tblW w:w="9408" w:type="dxa"/>
        <w:jc w:val="left"/>
        <w:tblInd w:w="0" w:type="dxa"/>
        <w:tblLayout w:type="fixed"/>
        <w:tblCellMar>
          <w:top w:w="0" w:type="dxa"/>
          <w:left w:w="0" w:type="dxa"/>
          <w:bottom w:w="0" w:type="dxa"/>
          <w:right w:w="0" w:type="dxa"/>
        </w:tblCellMar>
      </w:tblPr>
      <w:tblGrid>
        <w:gridCol w:w="38"/>
        <w:gridCol w:w="170"/>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date or dates, or the method for determining the date or dates, from which interest will accrue;</w:t>
            </w:r>
          </w:p>
        </w:tc>
      </w:tr>
    </w:tbl>
    <w:p>
      <w:pPr>
        <w:pStyle w:val="TextBody"/>
        <w:bidi w:val="0"/>
        <w:spacing w:before="0" w:after="283"/>
        <w:jc w:val="left"/>
        <w:rPr/>
      </w:pPr>
      <w:r>
        <w:rPr/>
        <w:t> </w:t>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dates on which interest will be payable;</w:t>
            </w:r>
          </w:p>
        </w:tc>
      </w:tr>
    </w:tbl>
    <w:p>
      <w:pPr>
        <w:pStyle w:val="TextBody"/>
        <w:bidi w:val="0"/>
        <w:spacing w:before="0" w:after="283"/>
        <w:jc w:val="left"/>
        <w:rPr/>
      </w:pPr>
      <w:r>
        <w:rPr/>
        <w:t> </w:t>
      </w:r>
    </w:p>
    <w:tbl>
      <w:tblPr>
        <w:tblW w:w="9483" w:type="dxa"/>
        <w:jc w:val="left"/>
        <w:tblInd w:w="0" w:type="dxa"/>
        <w:tblLayout w:type="fixed"/>
        <w:tblCellMar>
          <w:top w:w="0" w:type="dxa"/>
          <w:left w:w="0" w:type="dxa"/>
          <w:bottom w:w="0" w:type="dxa"/>
          <w:right w:w="0" w:type="dxa"/>
        </w:tblCellMar>
      </w:tblPr>
      <w:tblGrid>
        <w:gridCol w:w="38"/>
        <w:gridCol w:w="17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record dates for interest payment dates, or the method by which such dates will be determined;</w:t>
            </w:r>
          </w:p>
        </w:tc>
      </w:tr>
    </w:tbl>
    <w:p>
      <w:pPr>
        <w:pStyle w:val="TextBody"/>
        <w:bidi w:val="0"/>
        <w:spacing w:before="0" w:after="283"/>
        <w:jc w:val="left"/>
        <w:rPr/>
      </w:pPr>
      <w:r>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persons to whom interest will be payable;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basis upon which interest will be calculated if other than that of a 360-day year of twelve 30-day months;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place or places where the principal of, and any premium or make-whole amount, and interest on, the debt securities will be payable;</w:t>
            </w:r>
          </w:p>
        </w:tc>
      </w:tr>
    </w:tbl>
    <w:p>
      <w:pPr>
        <w:pStyle w:val="TextBody"/>
        <w:bidi w:val="0"/>
        <w:spacing w:before="0" w:after="283"/>
        <w:jc w:val="left"/>
        <w:rPr/>
      </w:pPr>
      <w:r>
        <w:rPr/>
        <w:t> </w:t>
      </w:r>
    </w:p>
    <w:tbl>
      <w:tblPr>
        <w:tblW w:w="9573" w:type="dxa"/>
        <w:jc w:val="left"/>
        <w:tblInd w:w="0" w:type="dxa"/>
        <w:tblLayout w:type="fixed"/>
        <w:tblCellMar>
          <w:top w:w="0" w:type="dxa"/>
          <w:left w:w="0" w:type="dxa"/>
          <w:bottom w:w="0" w:type="dxa"/>
          <w:right w:w="0" w:type="dxa"/>
        </w:tblCellMar>
      </w:tblPr>
      <w:tblGrid>
        <w:gridCol w:w="38"/>
        <w:gridCol w:w="17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where the debt securities may be surrendered for registration of transfer or conversion or exchange;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where notices or demands to or upon us in respect of the debt securities and the applicable indenture may be served;</w:t>
            </w:r>
          </w:p>
        </w:tc>
      </w:tr>
    </w:tbl>
    <w:p>
      <w:pPr>
        <w:pStyle w:val="TextBody"/>
        <w:bidi w:val="0"/>
        <w:spacing w:before="0" w:after="283"/>
        <w:jc w:val="left"/>
        <w:rPr/>
      </w:pPr>
      <w:r>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times, prices and other terms and conditions upon which we may redeem the debt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whether the amount of payments of principal of, and any premium or make-whole amount, or interest on, the debt securities may be determined according to an index, formula or other method and how such amounts will be determined;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identity of the depositary for securities in registered form, if such series are to be issuable as a global security;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date as of which any debt securities in bearer form or in temporary global form shall be dated if other than the original issuance date of the first security of the series to be issued;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applicability, if any, of the defeasance and covenant defeasance provisions described in this prospectus or in the applicable indenture;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whether and under what circumstances we will pay any additional amounts on the debt securities in respect of any tax, assessment or governmental charge and, if so, whether we will have the option to redeem the debt securities in lieu of making such a payment;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whether and under what circumstances the debt securities being offered are convertible into ordinary shares or other securities of ours, as the case may be, including the conversion price or rate and the manner or calculation thereof;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provisions granting special rights to holders of securities upon the occurrence of such events as specified in the applicable prospectus supplement;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the debt securities of such series are to be issuable in definitive form only upon receipt of certain certificates or other documents or satisfaction of other conditions, then the form and/or terms of such certificates, documents or conditions;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name of the applicable trustee and the nature of any material relationship with us or any of our affiliates, and the percentage of debt securities of the class necessary to require the trustee to take action;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tc>
      </w:tr>
    </w:tbl>
    <w:p>
      <w:pPr>
        <w:pStyle w:val="TextBody"/>
        <w:bidi w:val="0"/>
        <w:spacing w:before="0" w:after="283"/>
        <w:jc w:val="left"/>
        <w:rPr/>
      </w:pPr>
      <w:r>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applicable CUSIP numbers; and</w:t>
            </w:r>
          </w:p>
        </w:tc>
      </w:tr>
    </w:tbl>
    <w:p>
      <w:pPr>
        <w:pStyle w:val="TextBody"/>
        <w:bidi w:val="0"/>
        <w:spacing w:before="0" w:after="283"/>
        <w:jc w:val="left"/>
        <w:rPr/>
      </w:pPr>
      <w:r>
        <w:rPr/>
        <w:t> </w:t>
      </w:r>
    </w:p>
    <w:tbl>
      <w:tblPr>
        <w:tblW w:w="9858" w:type="dxa"/>
        <w:jc w:val="left"/>
        <w:tblInd w:w="0" w:type="dxa"/>
        <w:tblLayout w:type="fixed"/>
        <w:tblCellMar>
          <w:top w:w="0" w:type="dxa"/>
          <w:left w:w="0" w:type="dxa"/>
          <w:bottom w:w="0" w:type="dxa"/>
          <w:right w:w="0" w:type="dxa"/>
        </w:tblCellMar>
      </w:tblPr>
      <w:tblGrid>
        <w:gridCol w:w="38"/>
        <w:gridCol w:w="170"/>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other terms of such debt securities not inconsistent with the provisions of the applicable indenture.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 including the portion of the principal amount thereof to be payable upon declaration of acceleration of the maturity of the debt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indentures under “Compliance with Consolidation Provisions” and “Successor Entity”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Denomination, Interest, Registration and Transfer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described in the applicable prospectus supplement, the debt securities of any series will be issuable in denominations of $1,000 and integral multiples of $1,000.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imposed upon debt securities that are evidenced by a computerized entry in the records of a depository company rather than by physical delivery of a note, a holder of debt securities of any series may:</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surrender them for registration of transfer or exchange at the corporate trust office of the applicable trustee or at the office of any transfer agent that we designate for such purpose.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trustee, will be required to:</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 register the transfer of or exchange debt securities of any series during a period beginning at the opening of business 15 days before the day that a notice of redemption of less than all the outstanding debt securities of the same series is mailed and ending at the close of business on the day of such mailing;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register the transfer of or exchange any debt security, or portion thereof, so selected for redemption, in whole or in part, except the unredeemed portion of any debt security being redeemed in part;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 register the transfer of or exchange any debt security that has been surrendered for repayment at the option of the holder, except the portion, if any, of such debt security not to be so repaid.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Consolidation or Sale of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we may, without the consent of the holders of any outstanding debt securities, (i) consolidate with, (ii) sell, lease or convey all or substantially all of our assets to, or (iii) merge with or into, any other entity provided that: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holders of any outstanding debt securities shall be entitled to receive upon conversion or exchange of such debt securities the number of securities or property to which a holder of the number of ordinary shares or other securities of the Company deliverable upon conversion or exchange of such debt securities would have been entitled had such conversion or exchange occurred immediately prior to the transaction; and</w:t>
            </w:r>
          </w:p>
        </w:tc>
      </w:tr>
    </w:tbl>
    <w:p>
      <w:pPr>
        <w:pStyle w:val="TextBody"/>
        <w:bidi w:val="0"/>
        <w:spacing w:before="0" w:after="283"/>
        <w:jc w:val="left"/>
        <w:rPr/>
      </w:pPr>
      <w:r>
        <w:rPr/>
        <w:t> </w:t>
      </w:r>
    </w:p>
    <w:tbl>
      <w:tblPr>
        <w:tblW w:w="10158" w:type="dxa"/>
        <w:jc w:val="left"/>
        <w:tblInd w:w="0" w:type="dxa"/>
        <w:tblLayout w:type="fixed"/>
        <w:tblCellMar>
          <w:top w:w="0" w:type="dxa"/>
          <w:left w:w="0" w:type="dxa"/>
          <w:bottom w:w="0" w:type="dxa"/>
          <w:right w:w="0" w:type="dxa"/>
        </w:tblCellMar>
      </w:tblPr>
      <w:tblGrid>
        <w:gridCol w:w="38"/>
        <w:gridCol w:w="170"/>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 officers’ certificate and legal opinion covering such conditions are delivered to each applicable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Existence.</w:t>
      </w:r>
      <w:r>
        <w:rPr>
          <w:rFonts w:ascii="Times New Roman;Times;Serif" w:hAnsi="Times New Roman;Times;Serif"/>
          <w:b w:val="false"/>
          <w:i w:val="false"/>
          <w:caps w:val="false"/>
          <w:smallCaps w:val="false"/>
          <w:sz w:val="20"/>
        </w:rPr>
        <w:t xml:space="preserve"> Except as described therein under “Company May Consolidate, Etc.,” the indentures require us to do or cause to be done all things necessary to preserve and keep in full force and effect our existence, rights and franchises. However, the indentures do not require us to preserve any right or franchise if we determine that any right or franchise is no longer desirable in the conduct of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Provision of financial information.</w:t>
      </w:r>
      <w:r>
        <w:rPr>
          <w:rFonts w:ascii="Times New Roman;Times;Serif" w:hAnsi="Times New Roman;Times;Serif"/>
          <w:b w:val="false"/>
          <w:i w:val="false"/>
          <w:caps w:val="false"/>
          <w:smallCaps w:val="false"/>
          <w:sz w:val="20"/>
        </w:rPr>
        <w:t xml:space="preserve"> The indentures require us to (i) within 30 days of each of the respective dates by which we are required to file our annual reports, quarterly reports and other documents with the SEC, file with the trustee copies of the annual report, quarterly report and other documents that we file with the SEC under Section 13 or 15(d) of the Exchange Act and (ii) file with the trustee and the SEC any additional information, documents and reports regarding compliance by us with the conditions and covenants of the indentures, as required.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Additional covenants.</w:t>
      </w:r>
      <w:r>
        <w:rPr>
          <w:rFonts w:ascii="Times New Roman;Times;Serif" w:hAnsi="Times New Roman;Times;Serif"/>
          <w:b w:val="false"/>
          <w:i w:val="false"/>
          <w:caps w:val="false"/>
          <w:smallCaps w:val="false"/>
          <w:sz w:val="20"/>
        </w:rPr>
        <w:t xml:space="preserve"> The applicable prospectus supplement will set forth any of our additional covenants relating to any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Notice and Waiver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when we refer to “events of default” as defined in the indentures with respect to any series of debt securities, we mean: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default in the payment of any installment of interest on any debt security of such series continuing for 90 days;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default in the payment of principal of, or any premium or make-whole amount on, any debt security of such series as and when the same shall become due and payable, whether at maturity, upon redemption, by declaration or otherwise;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default in making any sinking fund payment as required for any debt security of such series as and when due and payable;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default in the performance or breach of any covenant or warranty in the debt securities or in the indenture by us continuing for 90 days after written notice as provided in the applicable indenture, but not of a covenant added to the indenture solely for the benefit of a series of debt securities issued thereunder other than such series;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bankruptcy, insolvency or reorganization, or court appointment of a receiver, liquidator or trustee of us; and</w:t>
            </w:r>
          </w:p>
        </w:tc>
      </w:tr>
    </w:tbl>
    <w:p>
      <w:pPr>
        <w:pStyle w:val="TextBody"/>
        <w:bidi w:val="0"/>
        <w:spacing w:before="0" w:after="283"/>
        <w:jc w:val="left"/>
        <w:rPr/>
      </w:pPr>
      <w:r>
        <w:rPr/>
        <w:t> </w:t>
      </w:r>
    </w:p>
    <w:tbl>
      <w:tblPr>
        <w:tblW w:w="8403" w:type="dxa"/>
        <w:jc w:val="left"/>
        <w:tblInd w:w="0" w:type="dxa"/>
        <w:tblLayout w:type="fixed"/>
        <w:tblCellMar>
          <w:top w:w="0" w:type="dxa"/>
          <w:left w:w="0" w:type="dxa"/>
          <w:bottom w:w="0" w:type="dxa"/>
          <w:right w:w="0" w:type="dxa"/>
        </w:tblCellMar>
      </w:tblPr>
      <w:tblGrid>
        <w:gridCol w:w="38"/>
        <w:gridCol w:w="17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other event of default provided with respect to a particular series of debt securities.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such default shall be given to us by the trustee, or to us and the trustee by the holders of at least 25%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have deposited with the applicable trustee all matured installments of interest upon and the principal of (and premium, if any, on) all the outstanding debt securities of such series that shall have become due and payable other than by acceleration (with interest upon such principal and premium, if any, and upon overdue installments of interest), plus applicable fees, expenses, disbursements and advances of the applicable trustee;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events of default, other than the non-payment of accelerated principal (and premium, if any) and accrued and unpaid interest on debt securities of such series, have been cured or waived.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require each trustee to give notice to the holders of debt securities within the later of 90 days after a default occurs and 30 days after it is actually known to a trustee or written notice of it is received by the trustee,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pStyle w:val="TextBody"/>
        <w:bidi w:val="0"/>
        <w:spacing w:before="0" w:after="283"/>
        <w:jc w:val="left"/>
        <w:rPr/>
      </w:pPr>
      <w:r>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 in conflict with any law or the applicable indenture;</w:t>
            </w:r>
          </w:p>
        </w:tc>
      </w:tr>
    </w:tbl>
    <w:p>
      <w:pPr>
        <w:pStyle w:val="TextBody"/>
        <w:bidi w:val="0"/>
        <w:spacing w:before="0" w:after="283"/>
        <w:jc w:val="left"/>
        <w:rPr/>
      </w:pPr>
      <w:r>
        <w:rPr/>
        <w:t> </w:t>
      </w:r>
    </w:p>
    <w:tbl>
      <w:tblPr>
        <w:tblW w:w="4608" w:type="dxa"/>
        <w:jc w:val="left"/>
        <w:tblInd w:w="0" w:type="dxa"/>
        <w:tblLayout w:type="fixed"/>
        <w:tblCellMar>
          <w:top w:w="0" w:type="dxa"/>
          <w:left w:w="0" w:type="dxa"/>
          <w:bottom w:w="0" w:type="dxa"/>
          <w:right w:w="0" w:type="dxa"/>
        </w:tblCellMar>
      </w:tblPr>
      <w:tblGrid>
        <w:gridCol w:w="38"/>
        <w:gridCol w:w="17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may involve the trustee in personal liability; or</w:t>
            </w:r>
          </w:p>
        </w:tc>
      </w:tr>
    </w:tbl>
    <w:p>
      <w:pPr>
        <w:pStyle w:val="TextBody"/>
        <w:bidi w:val="0"/>
        <w:spacing w:before="0" w:after="283"/>
        <w:jc w:val="left"/>
        <w:rPr/>
      </w:pPr>
      <w:r>
        <w:rPr/>
        <w:t> </w:t>
      </w:r>
    </w:p>
    <w:tbl>
      <w:tblPr>
        <w:tblW w:w="9468" w:type="dxa"/>
        <w:jc w:val="left"/>
        <w:tblInd w:w="0" w:type="dxa"/>
        <w:tblLayout w:type="fixed"/>
        <w:tblCellMar>
          <w:top w:w="0" w:type="dxa"/>
          <w:left w:w="0" w:type="dxa"/>
          <w:bottom w:w="0" w:type="dxa"/>
          <w:right w:w="0" w:type="dxa"/>
        </w:tblCellMar>
      </w:tblPr>
      <w:tblGrid>
        <w:gridCol w:w="38"/>
        <w:gridCol w:w="17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may be unduly prejudicial to the holders of debt securities of the series not joining the proceeding.</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the Indentures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no modifications or amendments may, without the consent of each affected holder, impair the right of any holder of any debt security to (i) receive payment of the principal of (and premium, if any) and interest on the debt securities, as provided in the debt securities or indentures, on or after the respective due dates expressed in the debt securities or the indentures (or in the case of redemption, on the redemption date) or (ii) institute suit for the enforcement of any such payment on or after such respective dates or redemption date. Furthermore, no modification or amendment may, without the consent of the holders of all of the debt securities affected by the modification or amendment: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the stated maturity of the principal of, or any premium or make-whole amount on, or any installment of principal of or interest on, any such debt security, or reduce the amount of interest payable thereon or principal thereof;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reduce the percentage in principal amount of any outstanding debt securities necessary to modify or amend the applicable indenture with respect to such debt securities.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outstanding debt securities of each affected series may, on behalf of all holders of debt securities of that series, waive, insofar as that series is concerned, our compliance with material restrictive covenants of the applicable indenture.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respective trustee may make modifications and amendments of an indenture without the consent of any holder of debt securities, including for any of the following purposes: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evidence the succession of another person to us as obligor under such indenture in compliance with the Trust Indenture Act;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add to our covenants for the benefit of the holders of all or any series of debt securities or to surrender any right or power conferred upon us in such indenture;</w:t>
            </w:r>
          </w:p>
        </w:tc>
      </w:tr>
    </w:tbl>
    <w:p>
      <w:pPr>
        <w:pStyle w:val="TextBody"/>
        <w:bidi w:val="0"/>
        <w:spacing w:before="0" w:after="283"/>
        <w:jc w:val="left"/>
        <w:rPr/>
      </w:pPr>
      <w:r>
        <w:rPr/>
        <w:t> </w:t>
      </w:r>
    </w:p>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add events of default for the benefit of the holders of all or any series of debt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add or change any provisions of an indenture (i) to change or eliminate restrictions on the payment of principal of, or premium or make-whole amount, or interest on, debt securities in bearer form, (ii) to permit or facilitate the issuance of debt securities in uncertificated form, or (iii) that otherwise does not adversely affect the interests of the holders of the debt securities of any series in any material respect;</w:t>
            </w:r>
          </w:p>
        </w:tc>
      </w:tr>
    </w:tbl>
    <w:p>
      <w:pPr>
        <w:pStyle w:val="TextBody"/>
        <w:bidi w:val="0"/>
        <w:spacing w:before="0" w:after="283"/>
        <w:jc w:val="left"/>
        <w:rPr/>
      </w:pPr>
      <w:r>
        <w:rPr/>
        <w:t> </w:t>
      </w:r>
    </w:p>
    <w:tbl>
      <w:tblPr>
        <w:tblW w:w="5928" w:type="dxa"/>
        <w:jc w:val="left"/>
        <w:tblInd w:w="0" w:type="dxa"/>
        <w:tblLayout w:type="fixed"/>
        <w:tblCellMar>
          <w:top w:w="0" w:type="dxa"/>
          <w:left w:w="0" w:type="dxa"/>
          <w:bottom w:w="0" w:type="dxa"/>
          <w:right w:w="0" w:type="dxa"/>
        </w:tblCellMar>
      </w:tblPr>
      <w:tblGrid>
        <w:gridCol w:w="38"/>
        <w:gridCol w:w="17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establish the form or terms of debt securities of any series;</w:t>
            </w:r>
          </w:p>
        </w:tc>
      </w:tr>
    </w:tbl>
    <w:p>
      <w:pPr>
        <w:pStyle w:val="TextBody"/>
        <w:bidi w:val="0"/>
        <w:ind w:left="36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provide for the acceptance of appointment by a successor trustee or facilitate the administration of the trusts under an indenture by more than one trustee; and</w:t>
            </w:r>
          </w:p>
        </w:tc>
      </w:tr>
    </w:tbl>
    <w:p>
      <w:pPr>
        <w:pStyle w:val="TextBody"/>
        <w:bidi w:val="0"/>
        <w:spacing w:before="0" w:after="283"/>
        <w:jc w:val="left"/>
        <w:rPr/>
      </w:pPr>
      <w:r>
        <w:rPr/>
        <w:t> </w:t>
      </w:r>
    </w:p>
    <w:tbl>
      <w:tblPr>
        <w:tblW w:w="6108" w:type="dxa"/>
        <w:jc w:val="left"/>
        <w:tblInd w:w="0" w:type="dxa"/>
        <w:tblLayout w:type="fixed"/>
        <w:tblCellMar>
          <w:top w:w="0" w:type="dxa"/>
          <w:left w:w="0" w:type="dxa"/>
          <w:bottom w:w="0" w:type="dxa"/>
          <w:right w:w="0" w:type="dxa"/>
        </w:tblCellMar>
      </w:tblPr>
      <w:tblGrid>
        <w:gridCol w:w="38"/>
        <w:gridCol w:w="17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cure any ambiguity, defect or inconsistency in an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applicable prospectus supplement, subordinated debt securities will be subject to the following subordination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restrictions will be included in any indenture relating to subordinated debt securities upon the creation of additional senior debt.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 Defeasance and Covenant Defeasance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indentures allow us to discharge our obligations to holders of any series of debt securities issued under any indenture when: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have paid or caused to be paid all other sums payable;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 officers’ certificate and an opinion of counsel stating the conditions to discharging the debt securities have been satisfied have been delivered to the trustee.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we may elect either:</w:t>
      </w:r>
    </w:p>
    <w:p>
      <w:pPr>
        <w:pStyle w:val="TextBody"/>
        <w:bidi w:val="0"/>
        <w:spacing w:before="0" w:after="283"/>
        <w:jc w:val="left"/>
        <w:rPr/>
      </w:pPr>
      <w:r>
        <w:rPr/>
        <w:t> </w:t>
      </w:r>
    </w:p>
    <w:tbl>
      <w:tblPr>
        <w:tblW w:w="9303" w:type="dxa"/>
        <w:jc w:val="left"/>
        <w:tblInd w:w="0" w:type="dxa"/>
        <w:tblLayout w:type="fixed"/>
        <w:tblCellMar>
          <w:top w:w="0" w:type="dxa"/>
          <w:left w:w="0" w:type="dxa"/>
          <w:bottom w:w="0" w:type="dxa"/>
          <w:right w:w="0" w:type="dxa"/>
        </w:tblCellMar>
      </w:tblPr>
      <w:tblGrid>
        <w:gridCol w:w="38"/>
        <w:gridCol w:w="17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defease and be discharged from any and all obligations with respect to such debt securities;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be released from our obligations with respect to such debt securities under the applicable indenture or, if provided in the applicable prospectus supplement, our obligations with respect to any other covenant, and any omission to comply with such obligations shall not constitute an event of default with respect to such debt securities.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use the term “government obligations,” we mean securities that are: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 obligations of the United States or the government that issued the foreign currency in which the debt securities of a particular series are payable, for the payment of which its full faith and credit is pledged;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use the term “conversion event,” we mean the cessation of use of:</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currency, currency unit or composite currency both by the government of the country that issued such currency and for the settlement of transactions by a central bank or other public institutions of or within the international banking community;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European Currency Unit both within the European Monetary System and for the settlement of transactions by public institutions of or within the European Communities;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currency unit or composite currency other than the European Currency Unit for the purposes for which it was established.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if any, upon which the debt securities are convertible into ordinary shares or other securities of ours will be set forth in the applicable prospectus supplement. The terms will include whether the debt securities are convertible into ordinary shares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at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Recourse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recourse under any obligation, covenant or agreement in the applicable indenture or with respect to any security against any of our or our successor’s past, present or future shareholders, employees, officers or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P_009"/>
      <w:bookmarkEnd w:id="10"/>
      <w:r>
        <w:rPr>
          <w:rFonts w:ascii="Times New Roman;Times;Serif" w:hAnsi="Times New Roman;Times;Serif"/>
          <w:b/>
          <w:i w:val="false"/>
          <w:caps w:val="false"/>
          <w:smallCaps w:val="false"/>
          <w:sz w:val="20"/>
        </w:rPr>
        <w:t>DESCRIPTION OF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ordinary shares, preference shares and/or debt securities in one or more series. We may issue warrants independently or together with ordinary shares, preference shares and/or debt securities, and the warrants may be attached to or separate from these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warrants, including:</w:t>
      </w:r>
    </w:p>
    <w:p>
      <w:pPr>
        <w:pStyle w:val="TextBody"/>
        <w:bidi w:val="0"/>
        <w:spacing w:before="0" w:after="283"/>
        <w:jc w:val="left"/>
        <w:rPr/>
      </w:pPr>
      <w:r>
        <w:rPr/>
        <w:t> </w:t>
      </w:r>
    </w:p>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offering price and aggregate number of warrants offered;</w:t>
            </w:r>
          </w:p>
        </w:tc>
      </w:tr>
    </w:tbl>
    <w:p>
      <w:pPr>
        <w:pStyle w:val="TextBody"/>
        <w:bidi w:val="0"/>
        <w:spacing w:before="0" w:after="283"/>
        <w:jc w:val="left"/>
        <w:rPr/>
      </w:pPr>
      <w:r>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currency for which the warrants may be purchased;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applicable, the designation and terms of the securities with which the warrants are issued and the number of warrants issued with each such security or each principal amount of such security;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applicable, the date on and after which the warrants and the related securities will be separately transferable;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the case of warrants to purchase debt securities, the principal amount of debt securities purchasable upon exercise of one warrant and the price at, and currency in which, this principal amount of debt securities may be purchased upon such exercise;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the case of warrants to purchase ordinary shares or preference shares, the number of ordinary shares or preference shares, as the case may be, purchasable upon the exercise of one warrant and the price at which these shares may be purchased upon such exercise;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effect of any merger, consolidation, sale or other disposition of our business on the warrant agreement and the warrants;</w:t>
            </w:r>
          </w:p>
        </w:tc>
      </w:tr>
    </w:tbl>
    <w:p>
      <w:pPr>
        <w:pStyle w:val="TextBody"/>
        <w:bidi w:val="0"/>
        <w:spacing w:before="0" w:after="283"/>
        <w:jc w:val="left"/>
        <w:rPr/>
      </w:pPr>
      <w:r>
        <w:rPr/>
        <w:t> </w:t>
      </w:r>
    </w:p>
    <w:tbl>
      <w:tblPr>
        <w:tblW w:w="5253" w:type="dxa"/>
        <w:jc w:val="left"/>
        <w:tblInd w:w="0" w:type="dxa"/>
        <w:tblLayout w:type="fixed"/>
        <w:tblCellMar>
          <w:top w:w="0" w:type="dxa"/>
          <w:left w:w="0" w:type="dxa"/>
          <w:bottom w:w="0" w:type="dxa"/>
          <w:right w:w="0" w:type="dxa"/>
        </w:tblCellMar>
      </w:tblPr>
      <w:tblGrid>
        <w:gridCol w:w="38"/>
        <w:gridCol w:w="17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terms of any rights to redeem or call the warrants;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provisions for changes to or adjustments in the exercise price or number of securities issuable upon exercise of the warrants;</w:t>
            </w:r>
          </w:p>
        </w:tc>
      </w:tr>
    </w:tbl>
    <w:p>
      <w:pPr>
        <w:pStyle w:val="TextBody"/>
        <w:bidi w:val="0"/>
        <w:spacing w:before="0" w:after="283"/>
        <w:jc w:val="left"/>
        <w:rPr/>
      </w:pPr>
      <w:r>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periods during which, and places at which, the warrants are exercisable;</w:t>
            </w:r>
          </w:p>
        </w:tc>
      </w:tr>
    </w:tbl>
    <w:p>
      <w:pPr>
        <w:pStyle w:val="TextBody"/>
        <w:bidi w:val="0"/>
        <w:spacing w:before="0" w:after="283"/>
        <w:jc w:val="left"/>
        <w:rPr/>
      </w:pPr>
      <w:r>
        <w:rPr/>
        <w:t> </w:t>
      </w:r>
    </w:p>
    <w:tbl>
      <w:tblPr>
        <w:tblW w:w="2433" w:type="dxa"/>
        <w:jc w:val="left"/>
        <w:tblInd w:w="0" w:type="dxa"/>
        <w:tblLayout w:type="fixed"/>
        <w:tblCellMar>
          <w:top w:w="0" w:type="dxa"/>
          <w:left w:w="0" w:type="dxa"/>
          <w:bottom w:w="0" w:type="dxa"/>
          <w:right w:w="0" w:type="dxa"/>
        </w:tblCellMar>
      </w:tblPr>
      <w:tblGrid>
        <w:gridCol w:w="38"/>
        <w:gridCol w:w="17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manner of exercise;</w:t>
            </w:r>
          </w:p>
        </w:tc>
      </w:tr>
    </w:tbl>
    <w:p>
      <w:pPr>
        <w:pStyle w:val="TextBody"/>
        <w:bidi w:val="0"/>
        <w:spacing w:before="0" w:after="283"/>
        <w:jc w:val="left"/>
        <w:rPr/>
      </w:pPr>
      <w:r>
        <w:rPr/>
        <w:t> </w:t>
      </w:r>
    </w:p>
    <w:tbl>
      <w:tblPr>
        <w:tblW w:w="7743" w:type="dxa"/>
        <w:jc w:val="left"/>
        <w:tblInd w:w="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dates on which the right to exercise the warrants will commence and expire;</w:t>
            </w:r>
          </w:p>
        </w:tc>
      </w:tr>
    </w:tbl>
    <w:p>
      <w:pPr>
        <w:pStyle w:val="TextBody"/>
        <w:bidi w:val="0"/>
        <w:spacing w:before="0" w:after="283"/>
        <w:jc w:val="left"/>
        <w:rPr/>
      </w:pPr>
      <w:r>
        <w:rPr/>
        <w:t> </w:t>
      </w:r>
    </w:p>
    <w:tbl>
      <w:tblPr>
        <w:tblW w:w="7323" w:type="dxa"/>
        <w:jc w:val="left"/>
        <w:tblInd w:w="0" w:type="dxa"/>
        <w:tblLayout w:type="fixed"/>
        <w:tblCellMar>
          <w:top w:w="0" w:type="dxa"/>
          <w:left w:w="0" w:type="dxa"/>
          <w:bottom w:w="0" w:type="dxa"/>
          <w:right w:w="0" w:type="dxa"/>
        </w:tblCellMar>
      </w:tblPr>
      <w:tblGrid>
        <w:gridCol w:w="38"/>
        <w:gridCol w:w="17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manner in which the warrant agreement and warrants may be modified;</w:t>
            </w:r>
          </w:p>
        </w:tc>
      </w:tr>
    </w:tbl>
    <w:p>
      <w:pPr>
        <w:pStyle w:val="TextBody"/>
        <w:bidi w:val="0"/>
        <w:spacing w:before="0" w:after="283"/>
        <w:jc w:val="left"/>
        <w:rPr/>
      </w:pPr>
      <w:r>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 income tax consequences of holding or exercising the warrants;</w:t>
            </w:r>
          </w:p>
        </w:tc>
      </w:tr>
    </w:tbl>
    <w:p>
      <w:pPr>
        <w:pStyle w:val="TextBody"/>
        <w:bidi w:val="0"/>
        <w:spacing w:before="0" w:after="283"/>
        <w:jc w:val="left"/>
        <w:rPr/>
      </w:pPr>
      <w:r>
        <w:rPr/>
        <w:t> </w:t>
      </w:r>
    </w:p>
    <w:tbl>
      <w:tblPr>
        <w:tblW w:w="6738" w:type="dxa"/>
        <w:jc w:val="left"/>
        <w:tblInd w:w="0" w:type="dxa"/>
        <w:tblLayout w:type="fixed"/>
        <w:tblCellMar>
          <w:top w:w="0" w:type="dxa"/>
          <w:left w:w="0" w:type="dxa"/>
          <w:bottom w:w="0" w:type="dxa"/>
          <w:right w:w="0" w:type="dxa"/>
        </w:tblCellMar>
      </w:tblPr>
      <w:tblGrid>
        <w:gridCol w:w="38"/>
        <w:gridCol w:w="17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terms of the securities issuable upon exercise of the warrants; and</w:t>
            </w:r>
          </w:p>
        </w:tc>
      </w:tr>
    </w:tbl>
    <w:p>
      <w:pPr>
        <w:pStyle w:val="TextBody"/>
        <w:bidi w:val="0"/>
        <w:spacing w:before="0" w:after="283"/>
        <w:jc w:val="left"/>
        <w:rPr/>
      </w:pPr>
      <w:r>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other specific terms, preferences, rights or limitations of or restrictions on the warrants.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P_010"/>
      <w:bookmarkEnd w:id="11"/>
      <w:r>
        <w:rPr>
          <w:rFonts w:ascii="Times New Roman;Times;Serif" w:hAnsi="Times New Roman;Times;Serif"/>
          <w:b/>
          <w:i w:val="false"/>
          <w:caps w:val="false"/>
          <w:smallCaps w:val="false"/>
          <w:sz w:val="20"/>
        </w:rPr>
        <w:t>DESCRIPTION OF UNITS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ordinary shares, preference shares,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designation and terms of the units and of the securities comprising the units, including whether and under what circumstances those securities may be held or transferred separately;</w:t>
            </w:r>
          </w:p>
        </w:tc>
      </w:tr>
    </w:tbl>
    <w:p>
      <w:pPr>
        <w:pStyle w:val="TextBody"/>
        <w:bidi w:val="0"/>
        <w:spacing w:before="0" w:after="283"/>
        <w:jc w:val="left"/>
        <w:rPr/>
      </w:pPr>
      <w:r>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provisions of the governing unit agreement;</w:t>
            </w:r>
          </w:p>
        </w:tc>
      </w:tr>
    </w:tbl>
    <w:p>
      <w:pPr>
        <w:pStyle w:val="TextBody"/>
        <w:bidi w:val="0"/>
        <w:spacing w:before="0" w:after="283"/>
        <w:jc w:val="left"/>
        <w:rPr/>
      </w:pPr>
      <w:r>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price or prices at which such units will be issued;</w:t>
            </w:r>
          </w:p>
        </w:tc>
      </w:tr>
    </w:tbl>
    <w:p>
      <w:pPr>
        <w:pStyle w:val="TextBody"/>
        <w:bidi w:val="0"/>
        <w:spacing w:before="0" w:after="283"/>
        <w:jc w:val="left"/>
        <w:rPr/>
      </w:pPr>
      <w:r>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applicable United States federal income tax considerations relating to the units;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provisions for the issuance, payment, settlement, transfer or exchange of the units or of the securities comprising the units; and</w:t>
            </w:r>
          </w:p>
        </w:tc>
      </w:tr>
    </w:tbl>
    <w:p>
      <w:pPr>
        <w:pStyle w:val="TextBody"/>
        <w:bidi w:val="0"/>
        <w:spacing w:before="0" w:after="283"/>
        <w:jc w:val="left"/>
        <w:rPr/>
      </w:pPr>
      <w:r>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other terms of the units and of the securities comprising the units.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Shares,” “Description of Debt Securities” and “Description of Warrants” will apply to the securities included in each unit, to the extent relevant and as may be updated in any prospectus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will generally apply to all unit agreements unless otherwise stated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without Consent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applicable unit agent may amend any unit or unit agreement without the consent of any holder:</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cure any ambiguity, including modifying any provisions of the governing unit agreement that differ from those described below;</w:t>
            </w:r>
          </w:p>
        </w:tc>
      </w:tr>
    </w:tbl>
    <w:p>
      <w:pPr>
        <w:pStyle w:val="TextBody"/>
        <w:bidi w:val="0"/>
        <w:spacing w:before="0" w:after="283"/>
        <w:jc w:val="left"/>
        <w:rPr/>
      </w:pPr>
      <w:r>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correct or supplement any defective or inconsistent provision;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make any other change that we believe is necessary or desirable and will not adversely affect the interests of the affected holders in any material respect.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with Consent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amend any particular unit or a unit agreement with respect to any particular unit unless we obtain the consent of the holder of that unit, if the amendment would: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 any right of the holder to exercise or enforce any right under a security included in the unit if the terms of that security require the consent of the holder to any changes that would impair the exercise or enforcement of that right;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reduce the percentage of outstanding units or any series or class the consent of whose holders is required to amend that series or class, or the applicable unit agreement with respect to that series or class, as described below.</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to a particular unit agreement and the units issued under that agreement would require the following approval:</w:t>
      </w:r>
    </w:p>
    <w:p>
      <w:pPr>
        <w:pStyle w:val="TextBody"/>
        <w:bidi w:val="0"/>
        <w:ind w:left="36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the change affects only the units of a particular series issued under that agreement, the change must be approved by the holders of a majority of the outstanding units of that series;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regarding changes with majority approval also apply to changes affecting any securities issued under a unit agreement, as the governing document.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required approval must be given by written consent.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 Agreements Will Not Be Qualified under Trust Indenture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Transactions Permitted; No Restrictive Covenants or Events of Default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Governing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 agreements and the units will be governed by Delaware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 Exchange and Transfer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accompanying prospectus supplement states otherwise, 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accompanying prospectus supplement states otherwise, each unit and all securities comprising the unit will be issued in the same form.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any units in registered, non-global form, the following will apply to them.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will be issued in the denominations stated in the applicable prospectus supplement. Holders may exchange their units for units of smaller denominations or combine them into fewer units of larger denominations, as long as the total amount is not changed.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Holders may exchange or transfer their units at the office of the unit agent. Holders may also replace lost, stolen, destroyed or mutilated units at that office. We may appoint another entity to perform these functions or perform them ourselves.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the depositary will be entitled to transfer or exchange a unit in global form, since it will be the sole holder of the unit.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Payments and Notices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payments and giving notices with respect to our units, we will follow the procedures as described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P_011"/>
      <w:bookmarkEnd w:id="12"/>
      <w:r>
        <w:rPr>
          <w:rFonts w:ascii="Times New Roman;Times;Serif" w:hAnsi="Times New Roman;Times;Serif"/>
          <w:b/>
          <w:i w:val="false"/>
          <w:caps w:val="false"/>
          <w:smallCaps w:val="false"/>
          <w:sz w:val="20"/>
        </w:rPr>
        <w:t>PLAN OF DISTRIBUTION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pStyle w:val="TextBody"/>
        <w:bidi w:val="0"/>
        <w:spacing w:before="0" w:after="283"/>
        <w:jc w:val="left"/>
        <w:rPr/>
      </w:pPr>
      <w:r>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a fixed price or prices, which may be changed;</w:t>
            </w:r>
          </w:p>
        </w:tc>
      </w:tr>
    </w:tbl>
    <w:p>
      <w:pPr>
        <w:pStyle w:val="TextBody"/>
        <w:bidi w:val="0"/>
        <w:spacing w:before="0" w:after="283"/>
        <w:jc w:val="left"/>
        <w:rPr/>
      </w:pPr>
      <w:r>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market prices prevailing at the time of sale;</w:t>
            </w:r>
          </w:p>
        </w:tc>
      </w:tr>
    </w:tbl>
    <w:p>
      <w:pPr>
        <w:pStyle w:val="TextBody"/>
        <w:bidi w:val="0"/>
        <w:spacing w:before="0" w:after="283"/>
        <w:jc w:val="left"/>
        <w:rPr/>
      </w:pPr>
      <w:r>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prices related to such prevailing market prices; or</w:t>
            </w:r>
          </w:p>
        </w:tc>
      </w:tr>
    </w:tbl>
    <w:p>
      <w:pPr>
        <w:pStyle w:val="TextBody"/>
        <w:bidi w:val="0"/>
        <w:spacing w:before="0" w:after="283"/>
        <w:jc w:val="left"/>
        <w:rPr/>
      </w:pPr>
      <w:r>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negotiated prices.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or through the facilities of The Nasdaq Capital Market or any other securities exchange or quotation or trading service on which such securities may be listed, quoted or traded at the time of sale; and/or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or through a market maker otherwise than on The Nasdaq Capital Market or such other securities exchanges or quotation or trading services.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at the market offerings, if any, may be conducted by underwriters acting as principal or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before="0" w:after="283"/>
        <w:jc w:val="left"/>
        <w:rPr/>
      </w:pPr>
      <w:r>
        <w:rPr/>
        <w:t> </w:t>
      </w:r>
    </w:p>
    <w:tbl>
      <w:tblPr>
        <w:tblW w:w="6333" w:type="dxa"/>
        <w:jc w:val="left"/>
        <w:tblInd w:w="0" w:type="dxa"/>
        <w:tblLayout w:type="fixed"/>
        <w:tblCellMar>
          <w:top w:w="0" w:type="dxa"/>
          <w:left w:w="0" w:type="dxa"/>
          <w:bottom w:w="0" w:type="dxa"/>
          <w:right w:w="0" w:type="dxa"/>
        </w:tblCellMar>
      </w:tblPr>
      <w:tblGrid>
        <w:gridCol w:w="38"/>
        <w:gridCol w:w="17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name or names of any underwriters, dealers or agents, if any;</w:t>
            </w:r>
          </w:p>
        </w:tc>
      </w:tr>
    </w:tbl>
    <w:p>
      <w:pPr>
        <w:pStyle w:val="TextBody"/>
        <w:bidi w:val="0"/>
        <w:spacing w:before="0" w:after="283"/>
        <w:jc w:val="left"/>
        <w:rPr/>
      </w:pPr>
      <w:r>
        <w:rPr/>
        <w:t> </w:t>
      </w:r>
    </w:p>
    <w:tbl>
      <w:tblPr>
        <w:tblW w:w="7968" w:type="dxa"/>
        <w:jc w:val="left"/>
        <w:tblInd w:w="0" w:type="dxa"/>
        <w:tblLayout w:type="fixed"/>
        <w:tblCellMar>
          <w:top w:w="0" w:type="dxa"/>
          <w:left w:w="0" w:type="dxa"/>
          <w:bottom w:w="0" w:type="dxa"/>
          <w:right w:w="0" w:type="dxa"/>
        </w:tblCellMar>
      </w:tblPr>
      <w:tblGrid>
        <w:gridCol w:w="38"/>
        <w:gridCol w:w="17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purchase price of the securities and the proceeds we will receive from the sale;</w:t>
            </w:r>
          </w:p>
        </w:tc>
      </w:tr>
    </w:tbl>
    <w:p>
      <w:pPr>
        <w:pStyle w:val="TextBody"/>
        <w:bidi w:val="0"/>
        <w:spacing w:before="0" w:after="283"/>
        <w:jc w:val="left"/>
        <w:rPr/>
      </w:pPr>
      <w:r>
        <w:rPr/>
        <w:t> </w:t>
      </w:r>
    </w:p>
    <w:tbl>
      <w:tblPr>
        <w:tblW w:w="7953" w:type="dxa"/>
        <w:jc w:val="left"/>
        <w:tblInd w:w="0" w:type="dxa"/>
        <w:tblLayout w:type="fixed"/>
        <w:tblCellMar>
          <w:top w:w="0" w:type="dxa"/>
          <w:left w:w="0" w:type="dxa"/>
          <w:bottom w:w="0" w:type="dxa"/>
          <w:right w:w="0" w:type="dxa"/>
        </w:tblCellMar>
      </w:tblPr>
      <w:tblGrid>
        <w:gridCol w:w="38"/>
        <w:gridCol w:w="17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options under which underwriters may purchase additional securities from 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agency fees or underwriting discounts and other items constituting agents’ or underwriters’ compensation;</w:t>
            </w:r>
          </w:p>
        </w:tc>
      </w:tr>
    </w:tbl>
    <w:p>
      <w:pPr>
        <w:pStyle w:val="TextBody"/>
        <w:bidi w:val="0"/>
        <w:spacing w:before="0" w:after="283"/>
        <w:jc w:val="left"/>
        <w:rPr/>
      </w:pPr>
      <w:r>
        <w:rPr/>
        <w:t> </w:t>
      </w:r>
    </w:p>
    <w:tbl>
      <w:tblPr>
        <w:tblW w:w="2628" w:type="dxa"/>
        <w:jc w:val="left"/>
        <w:tblInd w:w="0" w:type="dxa"/>
        <w:tblLayout w:type="fixed"/>
        <w:tblCellMar>
          <w:top w:w="0" w:type="dxa"/>
          <w:left w:w="0" w:type="dxa"/>
          <w:bottom w:w="0" w:type="dxa"/>
          <w:right w:w="0" w:type="dxa"/>
        </w:tblCellMar>
      </w:tblPr>
      <w:tblGrid>
        <w:gridCol w:w="38"/>
        <w:gridCol w:w="17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public offering price;</w:t>
            </w:r>
          </w:p>
        </w:tc>
      </w:tr>
    </w:tbl>
    <w:p>
      <w:pPr>
        <w:pStyle w:val="TextBody"/>
        <w:bidi w:val="0"/>
        <w:spacing w:before="0" w:after="283"/>
        <w:jc w:val="left"/>
        <w:rPr/>
      </w:pPr>
      <w:r>
        <w:rPr/>
        <w:t> </w:t>
      </w:r>
    </w:p>
    <w:tbl>
      <w:tblPr>
        <w:tblW w:w="7248" w:type="dxa"/>
        <w:jc w:val="left"/>
        <w:tblInd w:w="0" w:type="dxa"/>
        <w:tblLayout w:type="fixed"/>
        <w:tblCellMar>
          <w:top w:w="0" w:type="dxa"/>
          <w:left w:w="0" w:type="dxa"/>
          <w:bottom w:w="0" w:type="dxa"/>
          <w:right w:w="0" w:type="dxa"/>
        </w:tblCellMar>
      </w:tblPr>
      <w:tblGrid>
        <w:gridCol w:w="38"/>
        <w:gridCol w:w="17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discounts or concessions allowed or re-allowed or paid to dealers; and</w:t>
            </w:r>
          </w:p>
        </w:tc>
      </w:tr>
    </w:tbl>
    <w:p>
      <w:pPr>
        <w:pStyle w:val="TextBody"/>
        <w:bidi w:val="0"/>
        <w:spacing w:before="0" w:after="283"/>
        <w:jc w:val="left"/>
        <w:rPr/>
      </w:pPr>
      <w:r>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securities exchange or market on which the securities may be listed.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and underwriters with indemnification against civil liabilities related to offerings pursuant to this prospectus,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we offer, other than our Class A Ordinary Shares and Class C Ordinary Shares, will be new issues of securities, and all securities we offer, other than our Class A Ordinary Shares, will have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P_012"/>
      <w:bookmarkEnd w:id="13"/>
      <w:r>
        <w:rPr>
          <w:rFonts w:ascii="Times New Roman;Times;Serif" w:hAnsi="Times New Roman;Times;Serif"/>
          <w:b/>
          <w:i w:val="false"/>
          <w:caps w:val="false"/>
          <w:smallCaps w:val="false"/>
          <w:sz w:val="20"/>
        </w:rPr>
        <w:t>LEGAL MATTERS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relating to U.S. law will be passed upon for us by Gibson, Dunn &amp; Crutcher LLP. The validity of the securities offered in this prospectus and certain other legal matters relating to Cayman Islands law will be passed upon for us by Walkers (Cayman) LLP. Additional legal matters may be passed upon for us or any underwriters, dealers or agents, by counsel that we will name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P_013"/>
      <w:bookmarkEnd w:id="14"/>
      <w:r>
        <w:rPr>
          <w:rFonts w:ascii="Times New Roman;Times;Serif" w:hAnsi="Times New Roman;Times;Serif"/>
          <w:b/>
          <w:i w:val="false"/>
          <w:caps w:val="false"/>
          <w:smallCaps w:val="false"/>
          <w:sz w:val="20"/>
        </w:rPr>
        <w:t>EXPERTS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MoonLake Immunotherapeutics in its Annual Report on Form 10-K for the year ended December 31, 2025, and the effectiveness of internal control over financial reporting incorporated by reference herein, have been audited by Baker Tilly US, LLP, an independent registered public accounting firm, as set forth in their report thereon incorporated by reference herein, in reliance upon such report and upon the authority of said firm as experts in accounting and auditing.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P_014"/>
      <w:bookmarkEnd w:id="15"/>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We also filed a registration statement on Form S-3, including exhibits, under the Securities Act with respect to the securities offered by this prospectus. This prospectus is a part of that registration statement, but does not contain all of the information included in the registration statement or the exhibits.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access our annual reports on Form 10-K, quarterly reports on Form 10-Q, current reports on Form 8-K, proxy statements on Schedule 14A and amendments or supplements to those reports and statements, filed with the SEC, free of charge at our website at </w:t>
      </w:r>
      <w:r>
        <w:rPr>
          <w:rFonts w:ascii="Times New Roman;Times;Serif" w:hAnsi="Times New Roman;Times;Serif"/>
          <w:b w:val="false"/>
          <w:i/>
          <w:caps w:val="false"/>
          <w:smallCaps w:val="false"/>
          <w:sz w:val="20"/>
        </w:rPr>
        <w:t>www.moonlaketx.com</w:t>
      </w:r>
      <w:r>
        <w:rPr>
          <w:rFonts w:ascii="Times New Roman;Times;Serif" w:hAnsi="Times New Roman;Times;Serif"/>
          <w:b w:val="false"/>
          <w:i w:val="false"/>
          <w:caps w:val="false"/>
          <w:smallCaps w:val="false"/>
          <w:sz w:val="20"/>
        </w:rPr>
        <w:t xml:space="preserve"> or by means of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The information found on, or that can be accessed from or that is hyperlinked to, our website or the SEC’s website is not part of this prospectus and you should not rely on that information when making a decision to invest in our Class A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made in this prospectus and any prospectus supplement, periodic and current reports, proxy statements and other information filed or furnished with the SEC concerning the contents of any contract, agreement or other document is only a summary of the actual contract, agreement or other document. If we have filed any contract, document, agreement or other document as an exhibit to such filing or furnishing, you should read the exhibit for a more complete understanding of the document or matter involved. Each statement regarding a contract, agreement or other document is qualified in its entirety by reference to the actual document.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written or oral request, we will provide without charge to each person to whom a copy of this prospectus is delivered a copy of the documents incorporated by reference herein (other than exhibits to such documents unless such exhibits are specifically incorporated by reference herein). You may request a copy of these filings, at no cost, by writing, calling or emailing us at the contact information set forth below. We have authorized no one to provide you with any information that differs from that contained in this prospectus. Accordingly, we take no responsibility for any other information that others may give you. You should not assume that the information in this prospectus is accurate as of any date other than the date of the front cover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MoonLake Immunotherapeutics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Dorfstrasse 29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6300 Zug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+41 415108022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P_015"/>
      <w:bookmarkEnd w:id="16"/>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incorporates by reference important business and financial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information referenced in this way is considered part of this prospectus. Any subsequent information filed with the SEC will automatically be deemed to update and supersede the information in this prospectus and in our other filings with the SEC. We incorporate by reference: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our Annual Report on </w:t>
            </w:r>
            <w:hyperlink r:id="rId3">
              <w:r>
                <w:rPr>
                  <w:rStyle w:val="InternetLink"/>
                  <w:rFonts w:ascii="Times New Roman;Times;Serif" w:hAnsi="Times New Roman;Times;Serif"/>
                </w:rPr>
                <w:t>Form 10-K</w:t>
              </w:r>
            </w:hyperlink>
            <w:r>
              <w:rPr>
                <w:rFonts w:ascii="Times New Roman;Times;Serif" w:hAnsi="Times New Roman;Times;Serif"/>
              </w:rPr>
              <w:t xml:space="preserve"> for the fiscal year ended December 31, 2025, filed with the SEC on February 25, 2026 (and any portions of our Definitive Proxy Statement on </w:t>
            </w:r>
            <w:hyperlink r:id="rId4">
              <w:r>
                <w:rPr>
                  <w:rStyle w:val="InternetLink"/>
                  <w:rFonts w:ascii="Times New Roman;Times;Serif" w:hAnsi="Times New Roman;Times;Serif"/>
                </w:rPr>
                <w:t>Schedule 14A</w:t>
              </w:r>
            </w:hyperlink>
            <w:r>
              <w:rPr>
                <w:rFonts w:ascii="Times New Roman;Times;Serif" w:hAnsi="Times New Roman;Times;Serif"/>
              </w:rPr>
              <w:t>, filed with the SEC on April 21, 2026, that are incorporated by reference into our Annual Report on Form 10-K for the year ended December 31,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our Quarterly Reports on Form 10-Q for the quarter ended March 31, 2026, filed with the SEC on </w:t>
            </w:r>
            <w:hyperlink r:id="rId5">
              <w:r>
                <w:rPr>
                  <w:rStyle w:val="InternetLink"/>
                  <w:rFonts w:ascii="Times New Roman;Times;Serif" w:hAnsi="Times New Roman;Times;Serif"/>
                </w:rPr>
                <w:t>May 11, 2026</w:t>
              </w:r>
            </w:hyperlink>
            <w:r>
              <w:rPr>
                <w:rFonts w:ascii="Times New Roman;Times;Serif" w:hAnsi="Times New Roman;Times;Serif"/>
              </w:rPr>
              <w:t xml:space="preserve">, and the quarter ended June 30, 2026, filed with the SEC on </w:t>
            </w:r>
            <w:hyperlink r:id="rId6">
              <w:r>
                <w:rPr>
                  <w:rStyle w:val="InternetLink"/>
                  <w:rFonts w:ascii="Times New Roman;Times;Serif" w:hAnsi="Times New Roman;Times;Serif"/>
                </w:rPr>
                <w:t>August 10, 2026</w:t>
              </w:r>
            </w:hyperlink>
            <w:r>
              <w:rPr>
                <w:rFonts w:ascii="Times New Roman;Times;Serif" w:hAnsi="Times New Roman;Times;Serif"/>
              </w:rPr>
              <w:t>;</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our Current Reports on Form 8-K filed with the SEC on </w:t>
            </w:r>
            <w:hyperlink r:id="rId7">
              <w:r>
                <w:rPr>
                  <w:rStyle w:val="InternetLink"/>
                  <w:rFonts w:ascii="Times New Roman;Times;Serif" w:hAnsi="Times New Roman;Times;Serif"/>
                </w:rPr>
                <w:t>January 8, 2026</w:t>
              </w:r>
            </w:hyperlink>
            <w:r>
              <w:rPr>
                <w:rFonts w:ascii="Times New Roman;Times;Serif" w:hAnsi="Times New Roman;Times;Serif"/>
              </w:rPr>
              <w:t xml:space="preserve">, </w:t>
            </w:r>
            <w:hyperlink r:id="rId8">
              <w:r>
                <w:rPr>
                  <w:rStyle w:val="InternetLink"/>
                  <w:rFonts w:ascii="Times New Roman;Times;Serif" w:hAnsi="Times New Roman;Times;Serif"/>
                </w:rPr>
                <w:t>February 23, 2026</w:t>
              </w:r>
            </w:hyperlink>
            <w:r>
              <w:rPr>
                <w:rFonts w:ascii="Times New Roman;Times;Serif" w:hAnsi="Times New Roman;Times;Serif"/>
              </w:rPr>
              <w:t xml:space="preserve">, </w:t>
            </w:r>
            <w:hyperlink r:id="rId9">
              <w:r>
                <w:rPr>
                  <w:rStyle w:val="InternetLink"/>
                  <w:rFonts w:ascii="Times New Roman;Times;Serif" w:hAnsi="Times New Roman;Times;Serif"/>
                </w:rPr>
                <w:t>June 1, 2026</w:t>
              </w:r>
            </w:hyperlink>
            <w:r>
              <w:rPr>
                <w:rFonts w:ascii="Times New Roman;Times;Serif" w:hAnsi="Times New Roman;Times;Serif"/>
              </w:rPr>
              <w:t xml:space="preserve">, </w:t>
            </w:r>
            <w:hyperlink r:id="rId10">
              <w:r>
                <w:rPr>
                  <w:rStyle w:val="InternetLink"/>
                  <w:rFonts w:ascii="Times New Roman;Times;Serif" w:hAnsi="Times New Roman;Times;Serif"/>
                </w:rPr>
                <w:t>June 9, 2026</w:t>
              </w:r>
            </w:hyperlink>
            <w:r>
              <w:rPr>
                <w:rFonts w:ascii="Times New Roman;Times;Serif" w:hAnsi="Times New Roman;Times;Serif"/>
              </w:rPr>
              <w:t xml:space="preserve">, </w:t>
            </w:r>
            <w:hyperlink r:id="rId11">
              <w:r>
                <w:rPr>
                  <w:rStyle w:val="InternetLink"/>
                  <w:rFonts w:ascii="Times New Roman;Times;Serif" w:hAnsi="Times New Roman;Times;Serif"/>
                </w:rPr>
                <w:t>June 22, 2026</w:t>
              </w:r>
            </w:hyperlink>
            <w:r>
              <w:rPr>
                <w:rFonts w:ascii="Times New Roman;Times;Serif" w:hAnsi="Times New Roman;Times;Serif"/>
              </w:rPr>
              <w:t xml:space="preserve"> (Item 8.01 only), </w:t>
            </w:r>
            <w:hyperlink r:id="rId12">
              <w:r>
                <w:rPr>
                  <w:rStyle w:val="InternetLink"/>
                  <w:rFonts w:ascii="Times New Roman;Times;Serif" w:hAnsi="Times New Roman;Times;Serif"/>
                </w:rPr>
                <w:t>June 25, 2026</w:t>
              </w:r>
            </w:hyperlink>
            <w:r>
              <w:rPr>
                <w:rFonts w:ascii="Times New Roman;Times;Serif" w:hAnsi="Times New Roman;Times;Serif"/>
              </w:rPr>
              <w:t xml:space="preserve"> and </w:t>
            </w:r>
            <w:hyperlink r:id="rId13">
              <w:r>
                <w:rPr>
                  <w:rStyle w:val="InternetLink"/>
                  <w:rFonts w:ascii="Times New Roman;Times;Serif" w:hAnsi="Times New Roman;Times;Serif"/>
                </w:rPr>
                <w:t>July 15, 2026</w:t>
              </w:r>
            </w:hyperlink>
            <w:r>
              <w:rPr>
                <w:rFonts w:ascii="Times New Roman;Times;Serif" w:hAnsi="Times New Roman;Times;Serif"/>
              </w:rPr>
              <w: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the description of our securities contained in </w:t>
            </w:r>
            <w:hyperlink r:id="rId14">
              <w:r>
                <w:rPr>
                  <w:rStyle w:val="InternetLink"/>
                  <w:rFonts w:ascii="Times New Roman;Times;Serif" w:hAnsi="Times New Roman;Times;Serif"/>
                </w:rPr>
                <w:t>Exhibit 4.1</w:t>
              </w:r>
            </w:hyperlink>
            <w:r>
              <w:rPr>
                <w:rFonts w:ascii="Times New Roman;Times;Serif" w:hAnsi="Times New Roman;Times;Serif"/>
              </w:rPr>
              <w:t xml:space="preserve"> to our Annual Report on </w:t>
            </w:r>
            <w:hyperlink r:id="rId15">
              <w:r>
                <w:rPr>
                  <w:rStyle w:val="InternetLink"/>
                  <w:rFonts w:ascii="Times New Roman;Times;Serif" w:hAnsi="Times New Roman;Times;Serif"/>
                </w:rPr>
                <w:t>Form 10-K</w:t>
              </w:r>
            </w:hyperlink>
            <w:r>
              <w:rPr>
                <w:rFonts w:ascii="Times New Roman;Times;Serif" w:hAnsi="Times New Roman;Times;Serif"/>
              </w:rPr>
              <w:t xml:space="preserve"> for the year ended December 31, 2025, as filed with the SEC on February 25, 2026, as may be further amended by any amendments or reports filed for the purposes of updating this description.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information furnished under Items 2.02 and 7.01 of any Current Report on Form 8-K, including the related exhibits under Item 9.01, is not incorporated by reference in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any further filings we make with the SEC under Sections 13(a), 13(c), 14 or 15(d) of the Exchange Act (other than portions deemed to have been “furnished” and not filed with the SEC, including those made pursuant to Item 2.02 or Item 7.01 of Form 8-K or other information), including all filings filed after the date hereof and prior to the completion of the offering of all securities under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52675"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2352675" cy="628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IMMUNOTHERAPEUTICS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that certain Sales Agreement, dated August 31, 2023 (the “Original Sales Agreement”), as amended by Amendment No. 1 to Sales Agreement, dated August 10, 2026, (as amended, the “Sales Agreement”), with Leerink Partners LLC (“Leerink Partners”), relating to our Class A ordinary shares, par value $0.0001 per share (“Class A Ordinary Shares”), offered by this prospectus supplement and the accompanying prospectus. In accordance with the terms of the Sales Agreement, from time to time we may offer and sell our Class A Ordinary Shares having an aggregate gross sales price of up to $300,000,000 through Leerink Partners, acting as sales agent or principal. As of the date of this prospectus supplement, we had previously issued and sold our Class A Ordinary Shares having an aggregate offering price of $136,179,018 pursuant to the Original Sales Agreement under a registration statement on Form S-3 that was declared effective by the Commission on September 11, 2023 and an accompanying prospectus supplement (the "Original Sales Agreement Prospectus"). Upon effectiveness of the registration statement of which this prospectus supplement forms a part, no further sales will be made pursuant to the Original Sales Agreement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“MLTX.” On August 7, 2026, the last reported sale price of our Class A Ordinary Shares as reported on The Nasdaq Capital Market was $18.26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Class A Ordinary Shares, if any, under this prospectus supplement may be made in sales deemed to be an “at the market offering” as defined in Rule 415(a)(4) promulgated under the Securities Act of 1933, as amended (the “Securities Act”). Subject to terms of the Sales Agreement, Leerink Partners is not required to sell any specific number or dollar amount of securities but will act as our sales agent using commercially reasonable efforts consistent with its normal trading and sales practices, on mutually agreed terms between Leerink Partners and us. There is no arrangement for funds to be received in any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will be entitled to a commission of up to 3.0% of the gross sales price per share sold under the Sales Agreement. In connection with the sale of our Class A Ordinary Shares on our behalf, Leerink Partners will be deemed to be an “underwriter” within the meaning of the Securities Act and the compensation of Leerink Partners may be deemed to be underwriting commissions or discounts. We have also agreed to provide indemnification and contribution to Leerink Partners against certain civil liabilities, including liabilities under the Securities Act or the Securities Exchange Act of 1934, as amended (the “Exchange Act”). See “Plan of Distribution” beginning on page S-9 for additional information regarding the compensation to be paid to Leerink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Class A Ordinary Shares involves a high degree of risk. You should review carefully the risks and uncertainties described under the heading “Risk Factors” on page S-</w:t>
      </w:r>
      <w:r>
        <w:rPr>
          <w:rFonts w:ascii="Times New Roman;Times;Serif" w:hAnsi="Times New Roman;Times;Serif"/>
          <w:b/>
          <w:i w:val="false"/>
          <w:caps w:val="false"/>
          <w:smallCaps w:val="false"/>
          <w:strike w:val="false"/>
          <w:dstrike w:val="false"/>
          <w:sz w:val="20"/>
          <w:u w:val="none"/>
          <w:effect w:val="none"/>
        </w:rPr>
        <w:t>3</w:t>
      </w:r>
      <w:r>
        <w:rPr>
          <w:rFonts w:ascii="Times New Roman;Times;Serif" w:hAnsi="Times New Roman;Times;Serif"/>
          <w:b/>
          <w:i w:val="false"/>
          <w:caps w:val="false"/>
          <w:smallCaps w:val="false"/>
          <w:sz w:val="20"/>
        </w:rPr>
        <w:t xml:space="preserve"> of this prospectus supplement, and under similar headings in the documents that are incorporated by reference into this prospectus supplement and the accompanying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supplement and the accompanying prospectus are truthful or complete. Any representation to the contrary is a criminal offense.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Leerink Partners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10, 2026</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5765"/>
        <w:gridCol w:w="60"/>
        <w:gridCol w:w="410"/>
      </w:tblGrid>
      <w:tr>
        <w:trPr/>
        <w:tc>
          <w:tcPr>
            <w:tcW w:w="5765" w:type="dxa"/>
            <w:tcBorders/>
            <w:shd w:fill="CCEEFF" w:val="clear"/>
            <w:vAlign w:val="center"/>
          </w:tcPr>
          <w:p>
            <w:pPr>
              <w:pStyle w:val="TableContents"/>
              <w:bidi w:val="0"/>
              <w:spacing w:before="0" w:after="283"/>
              <w:jc w:val="left"/>
              <w:rPr/>
            </w:pPr>
            <w:hyperlink w:anchor="S_001">
              <w:r>
                <w:rPr>
                  <w:rStyle w:val="InternetLink"/>
                  <w:rFonts w:ascii="Times New Roman;Times;Serif" w:hAnsi="Times New Roman;Times;Serif"/>
                  <w:sz w:val="20"/>
                </w:rPr>
                <w:t>ABOUT THIS PROSPECTUS SUPPLEMENT</w:t>
              </w:r>
            </w:hyperlink>
          </w:p>
        </w:tc>
        <w:tc>
          <w:tcPr>
            <w:tcW w:w="60" w:type="dxa"/>
            <w:tcBorders/>
            <w:shd w:fill="CCEEFF" w:val="clear"/>
            <w:vAlign w:val="center"/>
          </w:tcPr>
          <w:p>
            <w:pPr>
              <w:pStyle w:val="TableContents"/>
              <w:bidi w:val="0"/>
              <w:spacing w:before="0" w:after="283"/>
              <w:jc w:val="righ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w:t>
            </w:r>
          </w:p>
        </w:tc>
      </w:tr>
      <w:tr>
        <w:trPr/>
        <w:tc>
          <w:tcPr>
            <w:tcW w:w="5765" w:type="dxa"/>
            <w:tcBorders/>
            <w:shd w:fill="FFFFFF" w:val="clear"/>
            <w:vAlign w:val="center"/>
          </w:tcPr>
          <w:p>
            <w:pPr>
              <w:pStyle w:val="TableContents"/>
              <w:bidi w:val="0"/>
              <w:spacing w:before="0" w:after="283"/>
              <w:jc w:val="left"/>
              <w:rPr/>
            </w:pPr>
            <w:hyperlink w:anchor="S_002">
              <w:r>
                <w:rPr>
                  <w:rStyle w:val="InternetLink"/>
                  <w:rFonts w:ascii="Times New Roman;Times;Serif" w:hAnsi="Times New Roman;Times;Serif"/>
                  <w:sz w:val="20"/>
                </w:rPr>
                <w:t>PROSPECTUS SUPPLEMENT SUMMARY</w:t>
              </w:r>
            </w:hyperlink>
          </w:p>
        </w:tc>
        <w:tc>
          <w:tcPr>
            <w:tcW w:w="60" w:type="dxa"/>
            <w:tcBorders/>
            <w:shd w:fill="FFFFFF" w:val="clear"/>
            <w:vAlign w:val="center"/>
          </w:tcPr>
          <w:p>
            <w:pPr>
              <w:pStyle w:val="TableContents"/>
              <w:bidi w:val="0"/>
              <w:spacing w:before="0" w:after="283"/>
              <w:jc w:val="righ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5765" w:type="dxa"/>
            <w:tcBorders/>
            <w:shd w:fill="CCEEFF" w:val="clear"/>
            <w:vAlign w:val="center"/>
          </w:tcPr>
          <w:p>
            <w:pPr>
              <w:pStyle w:val="TableContents"/>
              <w:bidi w:val="0"/>
              <w:spacing w:before="0" w:after="283"/>
              <w:jc w:val="left"/>
              <w:rPr/>
            </w:pPr>
            <w:hyperlink w:anchor="S_003">
              <w:r>
                <w:rPr>
                  <w:rStyle w:val="InternetLink"/>
                  <w:rFonts w:ascii="Times New Roman;Times;Serif" w:hAnsi="Times New Roman;Times;Serif"/>
                  <w:sz w:val="20"/>
                </w:rPr>
                <w:t>THE OFFERING</w:t>
              </w:r>
            </w:hyperlink>
          </w:p>
        </w:tc>
        <w:tc>
          <w:tcPr>
            <w:tcW w:w="60" w:type="dxa"/>
            <w:tcBorders/>
            <w:shd w:fill="CCEEFF" w:val="clear"/>
            <w:vAlign w:val="center"/>
          </w:tcPr>
          <w:p>
            <w:pPr>
              <w:pStyle w:val="TableContents"/>
              <w:bidi w:val="0"/>
              <w:spacing w:before="0" w:after="283"/>
              <w:jc w:val="righ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w:t>
            </w:r>
          </w:p>
        </w:tc>
      </w:tr>
      <w:tr>
        <w:trPr/>
        <w:tc>
          <w:tcPr>
            <w:tcW w:w="5765" w:type="dxa"/>
            <w:tcBorders/>
            <w:shd w:fill="FFFFFF" w:val="clear"/>
            <w:vAlign w:val="center"/>
          </w:tcPr>
          <w:p>
            <w:pPr>
              <w:pStyle w:val="TableContents"/>
              <w:bidi w:val="0"/>
              <w:spacing w:before="0" w:after="283"/>
              <w:jc w:val="left"/>
              <w:rPr/>
            </w:pPr>
            <w:hyperlink w:anchor="S_004">
              <w:r>
                <w:rPr>
                  <w:rStyle w:val="InternetLink"/>
                  <w:rFonts w:ascii="Times New Roman;Times;Serif" w:hAnsi="Times New Roman;Times;Serif"/>
                  <w:sz w:val="20"/>
                </w:rPr>
                <w:t>RISK FACTORS</w:t>
              </w:r>
            </w:hyperlink>
          </w:p>
        </w:tc>
        <w:tc>
          <w:tcPr>
            <w:tcW w:w="60" w:type="dxa"/>
            <w:tcBorders/>
            <w:shd w:fill="FFFFFF" w:val="clear"/>
            <w:vAlign w:val="center"/>
          </w:tcPr>
          <w:p>
            <w:pPr>
              <w:pStyle w:val="TableContents"/>
              <w:bidi w:val="0"/>
              <w:spacing w:before="0" w:after="283"/>
              <w:jc w:val="righ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w:t>
            </w:r>
          </w:p>
        </w:tc>
      </w:tr>
      <w:tr>
        <w:trPr/>
        <w:tc>
          <w:tcPr>
            <w:tcW w:w="5765" w:type="dxa"/>
            <w:tcBorders/>
            <w:shd w:fill="CCEEFF" w:val="clear"/>
            <w:vAlign w:val="center"/>
          </w:tcPr>
          <w:p>
            <w:pPr>
              <w:pStyle w:val="TableContents"/>
              <w:bidi w:val="0"/>
              <w:spacing w:before="0" w:after="283"/>
              <w:jc w:val="left"/>
              <w:rPr/>
            </w:pPr>
            <w:hyperlink w:anchor="S_005">
              <w:r>
                <w:rPr>
                  <w:rStyle w:val="InternetLink"/>
                  <w:rFonts w:ascii="Times New Roman;Times;Serif" w:hAnsi="Times New Roman;Times;Serif"/>
                  <w:sz w:val="20"/>
                </w:rPr>
                <w:t>SPECIAL NOTE REGARDING FORWARD-LOOKING STATEMENTS</w:t>
              </w:r>
            </w:hyperlink>
          </w:p>
        </w:tc>
        <w:tc>
          <w:tcPr>
            <w:tcW w:w="60" w:type="dxa"/>
            <w:tcBorders/>
            <w:shd w:fill="CCEEFF" w:val="clear"/>
            <w:vAlign w:val="center"/>
          </w:tcPr>
          <w:p>
            <w:pPr>
              <w:pStyle w:val="TableContents"/>
              <w:bidi w:val="0"/>
              <w:spacing w:before="0" w:after="283"/>
              <w:jc w:val="righ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S-5</w:t>
            </w:r>
          </w:p>
        </w:tc>
      </w:tr>
      <w:tr>
        <w:trPr/>
        <w:tc>
          <w:tcPr>
            <w:tcW w:w="5765" w:type="dxa"/>
            <w:tcBorders/>
            <w:shd w:fill="FFFFFF" w:val="clear"/>
            <w:vAlign w:val="center"/>
          </w:tcPr>
          <w:p>
            <w:pPr>
              <w:pStyle w:val="TableContents"/>
              <w:bidi w:val="0"/>
              <w:spacing w:before="0" w:after="283"/>
              <w:jc w:val="left"/>
              <w:rPr/>
            </w:pPr>
            <w:hyperlink w:anchor="S_006">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righ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S-7</w:t>
            </w:r>
          </w:p>
        </w:tc>
      </w:tr>
      <w:tr>
        <w:trPr/>
        <w:tc>
          <w:tcPr>
            <w:tcW w:w="5765" w:type="dxa"/>
            <w:tcBorders/>
            <w:shd w:fill="CCEEFF" w:val="clear"/>
            <w:vAlign w:val="center"/>
          </w:tcPr>
          <w:p>
            <w:pPr>
              <w:pStyle w:val="TableContents"/>
              <w:bidi w:val="0"/>
              <w:spacing w:before="0" w:after="283"/>
              <w:jc w:val="left"/>
              <w:rPr/>
            </w:pPr>
            <w:hyperlink w:anchor="S_007">
              <w:r>
                <w:rPr>
                  <w:rStyle w:val="InternetLink"/>
                  <w:rFonts w:ascii="Times New Roman;Times;Serif" w:hAnsi="Times New Roman;Times;Serif"/>
                  <w:sz w:val="20"/>
                </w:rPr>
                <w:t>DILUTION</w:t>
              </w:r>
            </w:hyperlink>
          </w:p>
        </w:tc>
        <w:tc>
          <w:tcPr>
            <w:tcW w:w="60" w:type="dxa"/>
            <w:tcBorders/>
            <w:shd w:fill="CCEEFF" w:val="clear"/>
            <w:vAlign w:val="center"/>
          </w:tcPr>
          <w:p>
            <w:pPr>
              <w:pStyle w:val="TableContents"/>
              <w:bidi w:val="0"/>
              <w:spacing w:before="0" w:after="283"/>
              <w:jc w:val="righ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r>
      <w:tr>
        <w:trPr/>
        <w:tc>
          <w:tcPr>
            <w:tcW w:w="5765" w:type="dxa"/>
            <w:tcBorders/>
            <w:shd w:fill="FFFFFF" w:val="clear"/>
            <w:vAlign w:val="center"/>
          </w:tcPr>
          <w:p>
            <w:pPr>
              <w:pStyle w:val="TableContents"/>
              <w:bidi w:val="0"/>
              <w:spacing w:before="0" w:after="283"/>
              <w:jc w:val="left"/>
              <w:rPr/>
            </w:pPr>
            <w:hyperlink w:anchor="S_008">
              <w:r>
                <w:rPr>
                  <w:rStyle w:val="InternetLink"/>
                  <w:rFonts w:ascii="Times New Roman;Times;Serif" w:hAnsi="Times New Roman;Times;Serif"/>
                  <w:sz w:val="20"/>
                </w:rPr>
                <w:t>PLAN OF DISTRIBUTION</w:t>
              </w:r>
            </w:hyperlink>
          </w:p>
        </w:tc>
        <w:tc>
          <w:tcPr>
            <w:tcW w:w="60" w:type="dxa"/>
            <w:tcBorders/>
            <w:shd w:fill="FFFFFF" w:val="clear"/>
            <w:vAlign w:val="center"/>
          </w:tcPr>
          <w:p>
            <w:pPr>
              <w:pStyle w:val="TableContents"/>
              <w:bidi w:val="0"/>
              <w:spacing w:before="0" w:after="283"/>
              <w:jc w:val="righ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S-9</w:t>
            </w:r>
          </w:p>
        </w:tc>
      </w:tr>
      <w:tr>
        <w:trPr/>
        <w:tc>
          <w:tcPr>
            <w:tcW w:w="5765" w:type="dxa"/>
            <w:tcBorders/>
            <w:shd w:fill="CCEEFF" w:val="clear"/>
            <w:vAlign w:val="center"/>
          </w:tcPr>
          <w:p>
            <w:pPr>
              <w:pStyle w:val="TableContents"/>
              <w:bidi w:val="0"/>
              <w:spacing w:before="0" w:after="283"/>
              <w:jc w:val="left"/>
              <w:rPr/>
            </w:pPr>
            <w:hyperlink w:anchor="S_009">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righ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S-10</w:t>
            </w:r>
          </w:p>
        </w:tc>
      </w:tr>
      <w:tr>
        <w:trPr/>
        <w:tc>
          <w:tcPr>
            <w:tcW w:w="5765" w:type="dxa"/>
            <w:tcBorders/>
            <w:shd w:fill="FFFFFF" w:val="clear"/>
            <w:vAlign w:val="center"/>
          </w:tcPr>
          <w:p>
            <w:pPr>
              <w:pStyle w:val="TableContents"/>
              <w:bidi w:val="0"/>
              <w:spacing w:before="0" w:after="283"/>
              <w:jc w:val="left"/>
              <w:rPr/>
            </w:pPr>
            <w:hyperlink w:anchor="S_010">
              <w:r>
                <w:rPr>
                  <w:rStyle w:val="InternetLink"/>
                  <w:rFonts w:ascii="Times New Roman;Times;Serif" w:hAnsi="Times New Roman;Times;Serif"/>
                  <w:sz w:val="20"/>
                </w:rPr>
                <w:t>EXPERTS</w:t>
              </w:r>
            </w:hyperlink>
          </w:p>
        </w:tc>
        <w:tc>
          <w:tcPr>
            <w:tcW w:w="60" w:type="dxa"/>
            <w:tcBorders/>
            <w:shd w:fill="FFFFFF" w:val="clear"/>
            <w:vAlign w:val="center"/>
          </w:tcPr>
          <w:p>
            <w:pPr>
              <w:pStyle w:val="TableContents"/>
              <w:bidi w:val="0"/>
              <w:spacing w:before="0" w:after="283"/>
              <w:jc w:val="righ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S-10</w:t>
            </w:r>
          </w:p>
        </w:tc>
      </w:tr>
      <w:tr>
        <w:trPr/>
        <w:tc>
          <w:tcPr>
            <w:tcW w:w="5765" w:type="dxa"/>
            <w:tcBorders/>
            <w:shd w:fill="CCEEFF" w:val="clear"/>
            <w:vAlign w:val="center"/>
          </w:tcPr>
          <w:p>
            <w:pPr>
              <w:pStyle w:val="TableContents"/>
              <w:bidi w:val="0"/>
              <w:spacing w:before="0" w:after="283"/>
              <w:jc w:val="left"/>
              <w:rPr/>
            </w:pPr>
            <w:hyperlink w:anchor="S_011">
              <w:r>
                <w:rPr>
                  <w:rStyle w:val="InternetLink"/>
                  <w:rFonts w:ascii="Times New Roman;Times;Serif" w:hAnsi="Times New Roman;Times;Serif"/>
                  <w:sz w:val="20"/>
                </w:rPr>
                <w:t>WHERE YOU CAN FIND MORE INFORMATION</w:t>
              </w:r>
            </w:hyperlink>
          </w:p>
        </w:tc>
        <w:tc>
          <w:tcPr>
            <w:tcW w:w="60" w:type="dxa"/>
            <w:tcBorders/>
            <w:shd w:fill="CCEEFF" w:val="clear"/>
            <w:vAlign w:val="center"/>
          </w:tcPr>
          <w:p>
            <w:pPr>
              <w:pStyle w:val="TableContents"/>
              <w:bidi w:val="0"/>
              <w:spacing w:before="0" w:after="283"/>
              <w:jc w:val="righ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S-11</w:t>
            </w:r>
          </w:p>
        </w:tc>
      </w:tr>
      <w:tr>
        <w:trPr/>
        <w:tc>
          <w:tcPr>
            <w:tcW w:w="5765" w:type="dxa"/>
            <w:tcBorders/>
            <w:shd w:fill="FFFFFF" w:val="clear"/>
            <w:vAlign w:val="center"/>
          </w:tcPr>
          <w:p>
            <w:pPr>
              <w:pStyle w:val="TableContents"/>
              <w:bidi w:val="0"/>
              <w:spacing w:before="0" w:after="283"/>
              <w:jc w:val="left"/>
              <w:rPr/>
            </w:pPr>
            <w:hyperlink w:anchor="S_012">
              <w:r>
                <w:rPr>
                  <w:rStyle w:val="InternetLink"/>
                  <w:rFonts w:ascii="Times New Roman;Times;Serif" w:hAnsi="Times New Roman;Times;Serif"/>
                  <w:sz w:val="20"/>
                </w:rPr>
                <w:t>INCORPORATION OF CERTAIN INFORMATION BY REFERENCE</w:t>
              </w:r>
            </w:hyperlink>
          </w:p>
        </w:tc>
        <w:tc>
          <w:tcPr>
            <w:tcW w:w="60" w:type="dxa"/>
            <w:tcBorders/>
            <w:shd w:fill="FFFFFF" w:val="clear"/>
            <w:vAlign w:val="center"/>
          </w:tcPr>
          <w:p>
            <w:pPr>
              <w:pStyle w:val="TableContents"/>
              <w:bidi w:val="0"/>
              <w:spacing w:before="0" w:after="283"/>
              <w:jc w:val="righ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S-12</w:t>
            </w:r>
          </w:p>
        </w:tc>
      </w:tr>
    </w:tbl>
    <w:p>
      <w:pPr>
        <w:pStyle w:val="TextBody"/>
        <w:bidi w:val="0"/>
        <w:spacing w:before="0" w:after="283"/>
        <w:jc w:val="left"/>
        <w:rPr/>
      </w:pPr>
      <w:r>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S_001"/>
      <w:bookmarkEnd w:id="17"/>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part of an automatic shelf registration statement on Form S-3ASR that we filed with the Securities and Exchange Commission (the “SEC”), as a “well-known seasoned issuer,” as defined in Rule 405 under the Securities Act, utilizing a “shelf” registration process. Before buying any of the Class A Ordinary Shares that we are offering, we urge you to carefully read this prospectus supplement and the accompanying prospectus, together with the information incorporated by reference as described under the headings “Where You Can Find More Information” and “Incorporation of Certain Information by Reference” in this prospectus supplement. These documents contain important information that you should consider when making your investment decision. Unless the context otherwise requires, references to “MoonLake,” “we,” “us,” “our,” “our Company,” “the Company” and “our business” refer to MoonLake Immunotherapeutics and its consolidated subsidiaries.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describes the terms of this offering of Class A Ordinary Shares and also adds to and updates information contained in the documents incorporated by reference into this prospectus. Generally, when we refer to this prospectus, we are referring to both this prospectus supplement and the accompanying prospectus. To the extent the information contained in this prospectus supplement differs from or conflicts with the information contained in the accompanying prospectus or any document incorporated by reference, the information in this prospectus supplement will control. If any statement in one of these documents is inconsistent with a statement in another document having a later date-for example, a document incorporated by reference into this prospectus supplement and the accompanying prospectus-the statement in the document having the later date modifies or supersedes the earlier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Leerink Partners has not, authorized anyone to provide you with information different from that which is contained in or incorporated by reference in this prospectus supplement, the accompanying prospectus and in any free writing prospectus that we may authorize for use in connection with this offering. We take no responsibility for, and can provide no assurance as to the reliability of, any other information that others may give to you. No one is making offers to sell or seeking offers to buy these securities in any jurisdiction where the offer or sale is not permitted. You should assume that the information contained in this prospectus supplement is accurate as of the date on the front cover of this prospectus supplement only and that any information we have incorporated by reference or included in the accompanying prospectus is accurate only as of the date given in the document incorporated by reference or as of the date of the prospectus, as applicable, regardless of the time of delivery of this prospectus supplement, the accompanying prospectus, any related free writing prospectus, or any sale of our Class A Ordinary Shares. Our business, financial condition, results of operations and prospects may have changed since those 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into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information incorporated herein and therein by reference include trademarks, servicemarks and tradenames owned by us or other companies. All trademarks, servicemarks and tradenames included or incorporated by reference in this prospectus supplement or the accompanying prospectus are the property of their respective owners.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18" w:name="S_002"/>
      <w:bookmarkEnd w:id="18"/>
      <w:r>
        <w:rPr>
          <w:rFonts w:ascii="Times New Roman;Times;Serif" w:hAnsi="Times New Roman;Times;Serif"/>
          <w:b/>
          <w:i w:val="false"/>
          <w:caps w:val="false"/>
          <w:smallCaps w:val="false"/>
          <w:sz w:val="20"/>
          <w:bdr w:val="single" w:sz="12" w:space="5" w:color="000000"/>
        </w:rPr>
        <w:t>PROSPECTUS SUPPLEMENT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certain information about us and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Class A Ordinary Shares. For a more complete understanding of our company and this offering, we encourage you to read and consider carefully the more detailed information in this prospectus supplement and the accompanying prospectus, including the information incorporated by reference into this prospectus supplement and the accompanying prospectus, and the information included in any free writing prospectus that we authorize for use in connection with this offering, including the information contained in and incorporated by reference under the heading “Risk Factors” beginning on page S-</w:t>
      </w:r>
      <w:r>
        <w:rPr>
          <w:rFonts w:ascii="Times New Roman;Times;Serif" w:hAnsi="Times New Roman;Times;Serif"/>
          <w:b w:val="false"/>
          <w:i/>
          <w:caps w:val="false"/>
          <w:smallCaps w:val="false"/>
          <w:strike w:val="false"/>
          <w:dstrike w:val="false"/>
          <w:sz w:val="20"/>
          <w:u w:val="none"/>
          <w:effect w:val="none"/>
          <w:bdr w:val="single" w:sz="12" w:space="5" w:color="000000"/>
        </w:rPr>
        <w:t>3</w:t>
      </w:r>
      <w:r>
        <w:rPr>
          <w:rFonts w:ascii="Times New Roman;Times;Serif" w:hAnsi="Times New Roman;Times;Serif"/>
          <w:b w:val="false"/>
          <w:i/>
          <w:caps w:val="false"/>
          <w:smallCaps w:val="false"/>
          <w:sz w:val="20"/>
          <w:bdr w:val="single" w:sz="12" w:space="5" w:color="000000"/>
        </w:rPr>
        <w:t xml:space="preserve"> of this prospectus supplement, and under similar headings in the other documents that are filed after the date hereof and incorporated by reference into this prospectus supplement and the accompanying prospectus. </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Company Overview</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clinical stage biotechnology company advancing therapies to address significant unmet needs in inflammatory skin and joint diseases. We are currently a single asset company focused on the development of Sonelokimab (“SLK”, also known as M1095/ALX 0761), a novel tri-specific IL-17A and IL-17F inhibiting Nanobody, that we exclusively licensed from Merck Healthcare KGaA, Darmstadt, Germany (“MHKDG”), an affiliate of Merck KGaA, Darmstadt, Germany, and that has the potential, based on response levels seen in clinical trials, to drive disease modification in dermatology and rheumatology patients.</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SLK is a proprietary Nanobody that was discovered by Ablynx N.V., Belgium, a Sanofi company (“Ablynx”), and previously studied by MHKDG and Avillion LLP under a 2017 co-development agreement. The terms “Nanobody” and “Nanobodies” used herein are registered trademarks of Ablynx. Nanobodies are able to bind selectively to a specific antigen with high affinity. Nanobodies have a fraction of the molecular weight compared to traditional antibodies. They offer a number of potential advantages over traditional monoclonal antibodies, including the potential to create multivalent molecules with enhanced ability to penetrate inflamed tissue, especially when containing an additional albumin binding domain such as SLK, an easier manufacturing process and a higher thermostability.</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currently develop SLK in inflammatory diseases in dermatology and rheumatology where the pathophysiology is known to be driven by IL-17A and IL-17F. This group of diseases comprises our current target diseases, hidradenitis suppurativa, psoriatic arthritis, axial spondyloarthritis, palmoplantar pustulosis, and several other inflammatory conditions, including psoriasis. Our current target diseases affect millions of people worldwide, and we believe there is a need for improved treatment options. We believe that SLK has a differentiated mechanism of action and that its purposefully designed molecular characteristics, including its small size and its albumin binding site, facilitate deep tissue penetration in the skin and joints. We envision SLK as a key therapeutic alternative in our initial target indications and potentially in multiple other IL-17 driven inflammatory conditions.</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We were originally incorporated on August 13, 2020 in the Cayman Islands as a special purpose acquisition company under the name Helix Acquisition Corp., and our subsidiary, MoonLake Immunotherapeutics AG, a Swiss stock corporation (Aktiengesellschaft) registered with the commercial register of the Canton of Zug, Switzerland under the number CHE-433.093.536 (“MoonLake AG”), was incorporated in Switzerland in 2021. On April 5, 2022, MoonLake Immunotherapeutics (formerly known as Helix Acquisition Corp.) consummated the business combination pursuant to that certain Business Combination Agreement dated October 4, 2021 (the “Business Combination Agreement”), by and among Helix Acquisition Corp., MoonLake AG, the existing equityholders of MoonLake AG set forth on the signature pages to the Business Combination Agreement and equityholders of MoonLake AG that executed joinders to the Business Combination Agreement (collectively, the “ML Parties”), Helix Holdings LLC, a Cayman Islands limited liability company and the sponsor of Helix Acquisition Corp., and the representative of the ML Parties (such transactions contemplated by the Business Combination Agreement, collectively, the “Business Combination”). In connection with the consummation of the Business Combination, we changed our name from Helix Acquisition Corp. to MoonLake Immunotherapeutics. Our principal executive office is located in Dorfstrasse 29, 6300 Zug, Switzerland. Our website address is </w:t>
      </w:r>
      <w:r>
        <w:rPr>
          <w:rFonts w:ascii="Times New Roman;Times;Serif" w:hAnsi="Times New Roman;Times;Serif"/>
          <w:b w:val="false"/>
          <w:i/>
          <w:caps w:val="false"/>
          <w:smallCaps w:val="false"/>
          <w:sz w:val="20"/>
          <w:bdr w:val="single" w:sz="12" w:space="5" w:color="000000"/>
        </w:rPr>
        <w:t>www.moonlaketx.com</w:t>
      </w:r>
      <w:r>
        <w:rPr>
          <w:rFonts w:ascii="Times New Roman;Times;Serif" w:hAnsi="Times New Roman;Times;Serif"/>
          <w:b w:val="false"/>
          <w:i w:val="false"/>
          <w:caps w:val="false"/>
          <w:smallCaps w:val="false"/>
          <w:sz w:val="20"/>
          <w:bdr w:val="single" w:sz="12" w:space="5" w:color="000000"/>
        </w:rPr>
        <w:t>. Information contained on or accessible through our website is not a part of this prospectus supplement. We have included our website in this prospectus supplement solely as an inactive textual reference.</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19" w:name="S_003"/>
      <w:bookmarkEnd w:id="19"/>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813"/>
        <w:gridCol w:w="60"/>
        <w:gridCol w:w="8332"/>
      </w:tblGrid>
      <w:tr>
        <w:trPr/>
        <w:tc>
          <w:tcPr>
            <w:tcW w:w="1813"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offered by us </w:t>
            </w:r>
          </w:p>
        </w:tc>
        <w:tc>
          <w:tcPr>
            <w:tcW w:w="6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Class A Ordinary Shares having an aggregate offering price of up to $300,000,000.</w:t>
            </w:r>
          </w:p>
        </w:tc>
      </w:tr>
      <w:tr>
        <w:trPr/>
        <w:tc>
          <w:tcPr>
            <w:tcW w:w="18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r>
      <w:tr>
        <w:trPr/>
        <w:tc>
          <w:tcPr>
            <w:tcW w:w="1813"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to be outstanding after the offering</w:t>
            </w:r>
          </w:p>
          <w:p>
            <w:pPr>
              <w:pStyle w:val="TableContents"/>
              <w:pBdr/>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100,036,038 Class A Ordinary Shares, assuming sales of 16,429,353 Class A Ordinary Shares in this offering at an assumed offering price of $18.26 per share, which was the last reported sale price of our Class A Ordinary Shares on The Nasdaq Capital Market on August 7, 2026. The actual number of shares issued will vary depending on the sales prices at which our Class A Ordinary Shares are sold under this offering.</w:t>
            </w:r>
          </w:p>
        </w:tc>
      </w:tr>
      <w:tr>
        <w:trPr/>
        <w:tc>
          <w:tcPr>
            <w:tcW w:w="18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r>
      <w:tr>
        <w:trPr/>
        <w:tc>
          <w:tcPr>
            <w:tcW w:w="1813"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of Distribution</w:t>
            </w:r>
          </w:p>
          <w:p>
            <w:pPr>
              <w:pStyle w:val="TableContents"/>
              <w:pBdr/>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w:t>
            </w:r>
            <w:r>
              <w:rPr>
                <w:rFonts w:ascii="Times New Roman;Times;Serif" w:hAnsi="Times New Roman;Times;Serif"/>
                <w:sz w:val="20"/>
              </w:rPr>
              <w:t>At the market offering” that may be made from time to time through our sales agent, Leerink Partners. See “Plan of Distribution” on page S-9 of this prospectus supplement.</w:t>
            </w:r>
          </w:p>
        </w:tc>
      </w:tr>
      <w:tr>
        <w:trPr/>
        <w:tc>
          <w:tcPr>
            <w:tcW w:w="18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r>
      <w:tr>
        <w:trPr/>
        <w:tc>
          <w:tcPr>
            <w:tcW w:w="1813"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p>
            <w:pPr>
              <w:pStyle w:val="TableContents"/>
              <w:pBdr/>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intend to use the net proceeds from this offering as working capital, including continuing to advance our pipeline through preclinical studies, clinical trials, regulatory submissions, business development, commercial planning and commercialization, and for general corporate purposes. See “Use of Proceeds” on page S-7 of this prospectus supplement.</w:t>
            </w:r>
          </w:p>
        </w:tc>
      </w:tr>
      <w:tr>
        <w:trPr/>
        <w:tc>
          <w:tcPr>
            <w:tcW w:w="18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r>
      <w:tr>
        <w:trPr/>
        <w:tc>
          <w:tcPr>
            <w:tcW w:w="1813"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p>
            <w:pPr>
              <w:pStyle w:val="TableContents"/>
              <w:pBdr/>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Investing in our Class A Ordinary Shares involves a high degree of risk. See the information contained in or incorporated by reference under the heading “Risk Factors” on page S-</w:t>
            </w:r>
            <w:r>
              <w:rPr>
                <w:rFonts w:ascii="Times New Roman;Times;Serif" w:hAnsi="Times New Roman;Times;Serif"/>
                <w:strike w:val="false"/>
                <w:dstrike w:val="false"/>
                <w:sz w:val="20"/>
                <w:u w:val="none"/>
                <w:effect w:val="none"/>
              </w:rPr>
              <w:t>3</w:t>
            </w:r>
            <w:r>
              <w:rPr>
                <w:rFonts w:ascii="Times New Roman;Times;Serif" w:hAnsi="Times New Roman;Times;Serif"/>
                <w:sz w:val="20"/>
              </w:rPr>
              <w:t xml:space="preserve"> of this prospectus supplement, in the accompanying prospectus and in the documents incorporated by reference into this prospectus supplement and any free writing prospectus that we authorize for use in connection with this offering.</w:t>
            </w:r>
          </w:p>
        </w:tc>
      </w:tr>
      <w:tr>
        <w:trPr/>
        <w:tc>
          <w:tcPr>
            <w:tcW w:w="18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 </w:t>
            </w:r>
          </w:p>
        </w:tc>
      </w:tr>
      <w:tr>
        <w:trPr/>
        <w:tc>
          <w:tcPr>
            <w:tcW w:w="1813"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 symbol </w:t>
            </w:r>
          </w:p>
        </w:tc>
        <w:tc>
          <w:tcPr>
            <w:tcW w:w="60" w:type="dxa"/>
            <w:tcBorders/>
            <w:vAlign w:val="center"/>
          </w:tcPr>
          <w:p>
            <w:pPr>
              <w:pStyle w:val="TableContents"/>
              <w:bidi w:val="0"/>
              <w:spacing w:before="0" w:after="283"/>
              <w:jc w:val="left"/>
              <w:rPr/>
            </w:pPr>
            <w:r>
              <w:rPr/>
              <w:t> </w:t>
            </w:r>
          </w:p>
        </w:tc>
        <w:tc>
          <w:tcPr>
            <w:tcW w:w="8332" w:type="dxa"/>
            <w:tcBorders/>
            <w:vAlign w:val="center"/>
          </w:tcPr>
          <w:p>
            <w:pPr>
              <w:pStyle w:val="TableContents"/>
              <w:bidi w:val="0"/>
              <w:spacing w:before="0" w:after="283"/>
              <w:jc w:val="left"/>
              <w:rPr/>
            </w:pPr>
            <w:r>
              <w:rPr/>
              <w:t>“</w:t>
            </w:r>
            <w:r>
              <w:rPr>
                <w:rFonts w:ascii="Times New Roman;Times;Serif" w:hAnsi="Times New Roman;Times;Serif"/>
                <w:sz w:val="20"/>
              </w:rPr>
              <w:t>MLTX”</w:t>
            </w:r>
          </w:p>
        </w:tc>
      </w:tr>
    </w:tbl>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Class A Ordinary Shares that will be outstanding after this offering is based on 83,606,685 Class A Ordinary Shares outstanding as of June 30, 2026 and excludes: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2,503,611 Class A Ordinary Shares subject to stock options granted under the Amended and Restated 2022 Equity Incentive Plan (as so amended, the “Incentive Plan”) at a weighted-average exercise price of $14.73 per share as of June 30, 2026;</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6,020,591 Class A Ordinary Shares reserved for future equity award grants under the Incentive Plan as of June 30, 2026;</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1,000,000 Class A Ordinary Shares issuable upon the exercise of pre-funded warrants to purchase Class A Ordinary Shares, with an exercise price of $0.0001, as of June 30, 2026; and</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1,500,000 Class A Ordinary Shares issued upon the exercise in full of the underwriters’ (of the previously announced public offering of Class A Ordinary Shares and, in lieu of Class A Ordinary Shares to certain investors that so choose, pre-funded warrants to purchase Class A Ordinary Shares) option to purchase additional shares (the “Over-Allotment Option”), subsequent to June 30, 2026.</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Except as otherwise indicated, the information in this prospectus supplement does not assume or give effect to any exercise of outstanding options after June 30, 2026.</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S_004"/>
      <w:bookmarkEnd w:id="20"/>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making an investment decision, you should carefully consider the risks and other information we include or incorporate by reference in this prospectus supplement and the accompanying prospectus, and in any free writing prospectus that we have authorized for use in connection with this offering. In particular, you should consider the risk factors described under the heading “Risk Factors” in our most recent Annual Report on Form 10-K, as may be revised or supplemented by our subsequent Quarterly Reports on Form 10-Q or Current Reports on Form 8-K, each of which is on file with the SEC and are incorporated herein by reference, and which may be amended, supplemented or superseded from time to time by other reports we file with the SEC in the future. In addition to those risk factors, there may be additional risks and uncertainties which are not currently known to us or that we currently deem immaterial. Our business, financial condition or results of operations could be materially adversely affected by any of these risks. The occurrence of any of these risks might cause you to lose all or part of your investment in the offered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purchase Class A Ordinary Shares in this offering, you will suffer immediate and substantial dilution in the book value per Class A Ordinary Share purchased in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sold in this offering from time to time will be sold at various prices. The per Class A Ordinary Share offering price may be substantially higher than the as adjusted net tangible book value per Class A Ordinary Share. Assuming that an aggregate of 16,429,353 Class A Ordinary Shares are sold at a price of $18.26 per share, which was the closing price of our Class A Ordinary Shares on The Nasdaq Capital Market on August 7, 2026, for aggregate gross proceeds of $300,000,000, and after deducting commissions and estimated offering expenses payable by us, new investors in this offering will incur immediate dilution of $11.07 per share. See “Dilution” on page S-8 of this prospectus supplement for a more detailed discussion of the dilution you will incur in connection with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You may experience future dilution as a result of future equity issuances.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at any time, including during the pendency of this offering, offer additional Class A Ordinary Shares or other securities convertible into or exchangeable for our Class A Ordinary Shares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Class A Ordinary Shares, or securities convertible or exchangeable into Class A Ordinary Shares, in future transactions may be higher or lower than the price per share paid by investors in this offering. In addition, there were (a) 2,503,611 Class A Ordinary Shares subject to stock options granted under the Incentive Plan at a weighted-average exercise price of $14.73 per share as of June 30, 2026, (b) 6,020,591 Class A Ordinary Shares reserved for future equity award grants under the Incentive Plan as of June 30, 2026, (c) 1,000,000 Class A Ordinary Shares issuable upon the exercise of pre-funded warrants as of June 30, 2026, and (d) 1,500,000 Class A Ordinary Shares issued upon the exercise in full of the Over-Allotment Option, subsequent to June 30, 2026. To the extent shares have been issued or are issued under outstanding options at exercise prices lower than the price of our Class A Ordinary Shares in this offering, you will incur further dilution.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Sales of a significant number of Class A Ordinary Shares in the public markets, or the perception that such sales could occur, could depress the market price of our Class A 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Class A Ordinary Shares in the public markets, or the perception that such sales could occur, could depress the market price of our Class A Ordinary Shares and impair our ability to raise capital through the sale of additional equity securities. We may sell a significant number of Class A Ordinary Shares at any time pursuant to this prospectus supplement and the accompanying prospectus or in one or more separate offerings. We cannot predict the effect that future sales of our Class A Ordinary Shares would have on the market price of our Class A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actual number of shares we will sell under the Sales Agreement, at any one time or in total, as well as the gross proceeds resulting from those sales, is uncertain.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placement notice to Leerink Partners at any time throughout the term of the Sales Agreement. The number of shares that are sold by Leerink Partners under the Sales Agreement and upon delivery of a placement notice will fluctuate based on the market price of our Class A Ordinary Shares during the sales period and the limits we set with Leerink Partners. Because the price of each share sold will fluctuate based on the market price of our Class A Ordinary Shares during the sales period, it is not possible to predict the number of shares that will ultimately be sold or the gross proceeds to be raised in connection with the sale of Class A Ordinary Shares offered under this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broad discretion in the use of our cash and cash equivalents, including the net proceeds we receive in this offering, and may not use them effectively.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has broad discretion to use our cash and cash equivalents, including the net proceeds we receive in this offering, to fund our operations and could spend these funds in ways that do not improve our results of operations or enhance the value of our Class A Ordinary Shares, and you will not have the opportunity as part of your investment decision to assess whether the net proceeds are being used appropriately. The failure by our management to apply these funds effectively could result in financial losses that could have a material adverse effect on our business, cause the price of our Class A Ordinary Shares to decline and delay the development of our product candidates. You will not have the opportunity to influence our decisions on how to use our cash and cash equivalents, including the net proceeds from this offering. Pending their use to fund our operations, we may invest our cash and cash equivalents, including the net proceeds from this offering, in a manner that does not produce income or that loses value.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Class A Ordinary Shares offered hereby will be sold in “at the market offerings” and investors who buy shares at different times will likely pay different prices.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pricing and number of shares sold, and there is no maximum sales price. Pursuant to the parameters set by our board of directors, there will be a minimum sales price for Class A Ordinary Shares sold in this offering, which will limit our ability to make sales if the public trading price of our Class A Ordinary Shares drops below that minimum sales price. Such minimum sales price may be below the price paid by investors in this offering. Further, our board of directors will retain the ability to increase or decrease such minimum sales price in the future. Investors may experience a decline in the value of the shares they purchase in this offering as a result of sales made at prices lower than the prices they paid.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S_005"/>
      <w:bookmarkEnd w:id="21"/>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contain forward-looking statements for purposes of federal securities laws. We intend such forward-looking statements to be covered by the safe harbor provisions for forward-looking statements contained in Section 27A of the Securities Act and Section 21E of the Exchange Act. All statements other than statements of historical fact contained in this prospectus supplement and the accompanying prospectus, including, without limitation, statements regarding the following, are forward-looking statements: our future results of operations and financial position, our expectations regarding industry trends, the sufficiency of our cash and cash equivalents, the anticipated sources and uses of cash, the anticipated investments in our business, our business strategy, expectations regarding our clinical programs and the plans and objectives of management for future operations and capital expenditures.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“might,” “possible,” or “continue” or the negative of these terms or other similar expressions. The forward-looking statements in this prospectus supplement and the accompanying prospectus are only predictions. We have based these forward-looking statements largely on our current expectations and projections about future events and financial trends that we believe may affect our business, financial condition and results of operations. Some of the information contained in this discussion and analysis or set forth elsewhere in this prospectus supplement and the accompanying prospectus contain forward-looking statements that reflect our plans and strategy for our business and related financing. Our actual results and the timing of events could differ materially from those anticipated in the forward-looking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important risks, uncertainties and other factors that could cause actual results to differ materially from those in the forward-looking statements expressed or implied in this prospectus supplement and the accompanying prospectus. Such risks, uncertainties and other factors include, among others, the risks, uncertainties and factors set forth in “Risk Factors,” and the following risks, uncertainties and factors:</w:t>
      </w:r>
    </w:p>
    <w:p>
      <w:pPr>
        <w:pStyle w:val="TextBody"/>
        <w:bidi w:val="0"/>
        <w:spacing w:before="0" w:after="0"/>
        <w:ind w:left="0" w:right="0" w:firstLine="360"/>
        <w:jc w:val="left"/>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expected use of our existing cash and the net proceeds from this offering;</w:t>
            </w:r>
          </w:p>
        </w:tc>
      </w:tr>
    </w:tbl>
    <w:p>
      <w:pPr>
        <w:pStyle w:val="TextBody"/>
        <w:bidi w:val="0"/>
        <w:spacing w:before="0" w:after="0"/>
        <w:jc w:val="left"/>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38"/>
        <w:gridCol w:w="17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expectations regarding the completion of this offering;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potential impacts of raising additional capital, including dilution to our existing shareholders, restrictions on our operations or requirements that we relinquish rights to our technologies or product candidates;</w:t>
            </w:r>
          </w:p>
        </w:tc>
      </w:tr>
    </w:tbl>
    <w:p>
      <w:pPr>
        <w:pStyle w:val="TextBody"/>
        <w:bidi w:val="0"/>
        <w:spacing w:before="0" w:after="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17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success in retaining or recruiting, or changes required in, our officers, key employees or directors;</w:t>
            </w:r>
          </w:p>
        </w:tc>
      </w:tr>
    </w:tbl>
    <w:p>
      <w:pPr>
        <w:pStyle w:val="TextBody"/>
        <w:bidi w:val="0"/>
        <w:spacing w:before="0" w:after="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factors relating to our business, operations and financial performance, including, but not limited to: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are substantially dependent on the success of our novel tri-specific Nanobody®, SLK, which we license from MHKDG;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obtain regulatory approval for our products, and any related restrictions or limitations of any approved products;</w:t>
            </w:r>
          </w:p>
        </w:tc>
      </w:tr>
    </w:tbl>
    <w:p>
      <w:pPr>
        <w:pStyle w:val="TextBody"/>
        <w:bidi w:val="0"/>
        <w:spacing w:before="0" w:after="0"/>
        <w:jc w:val="left"/>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140"/>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competition and competitive pressures from other global companies in the industries in which we operate;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have incurred significant losses since inception, and we expect to incur significant losses for the foreseeable future and may not be able to achieve or sustain profitability in the future;</w:t>
            </w:r>
          </w:p>
        </w:tc>
      </w:tr>
    </w:tbl>
    <w:p>
      <w:pPr>
        <w:pStyle w:val="TextBody"/>
        <w:bidi w:val="0"/>
        <w:spacing w:before="0" w:after="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4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4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manage our growth effectively;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impact of adverse business and economic conditions including inflationary pressures, general economic slowdown or a recession, fluctuating interest rates, new or increased tariffs and other barriers to trade, changes in fiscal and monetary policy or government budget dynamics, the prospect of a shutdown of the United States federal government, conflicts in the Middle East, and significant volatility in commodity prices, including the price of oil and the responses thereto;</w:t>
            </w:r>
          </w:p>
        </w:tc>
      </w:tr>
    </w:tbl>
    <w:p>
      <w:pPr>
        <w:pStyle w:val="TextBody"/>
        <w:bidi w:val="0"/>
        <w:spacing w:before="0" w:after="0"/>
        <w:jc w:val="left"/>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38"/>
        <w:gridCol w:w="14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while we have initiated and completed clinical trials, we have no products approved for commercial sale;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require substantial additional capital to finance our operations, and if we are unable to raise such capital when needed or on acceptable terms, we may be forced to delay, reduce, and/or eliminate one or more of our development programs or future commercialization efforts;</w:t>
            </w:r>
          </w:p>
        </w:tc>
      </w:tr>
    </w:tbl>
    <w:p>
      <w:pPr>
        <w:pStyle w:val="TextBody"/>
        <w:bidi w:val="0"/>
        <w:spacing w:before="0" w:after="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14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3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renew existing contracts;</w:t>
            </w:r>
          </w:p>
        </w:tc>
      </w:tr>
    </w:tbl>
    <w:p>
      <w:pPr>
        <w:pStyle w:val="TextBody"/>
        <w:bidi w:val="0"/>
        <w:spacing w:before="0" w:after="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14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2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limited operating history;</w:t>
            </w:r>
          </w:p>
        </w:tc>
      </w:tr>
    </w:tbl>
    <w:p>
      <w:pPr>
        <w:pStyle w:val="TextBody"/>
        <w:bidi w:val="0"/>
        <w:spacing w:before="0" w:after="0"/>
        <w:jc w:val="lef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4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5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respond to general economic conditions;</w:t>
            </w:r>
          </w:p>
        </w:tc>
      </w:tr>
    </w:tbl>
    <w:p>
      <w:pPr>
        <w:pStyle w:val="TextBody"/>
        <w:bidi w:val="0"/>
        <w:spacing w:before="0" w:after="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4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86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litigation following periods of volatility in the marketplace or our share price; and</w:t>
            </w:r>
          </w:p>
        </w:tc>
      </w:tr>
    </w:tbl>
    <w:p>
      <w:pPr>
        <w:pStyle w:val="TextBody"/>
        <w:bidi w:val="0"/>
        <w:spacing w:before="0" w:after="0"/>
        <w:jc w:val="left"/>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4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59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ability to adequately protect our intellectual property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should not be construed as exhaustive and should be read in conjunction with the other factors described under the heading “Risk Factors” in this prospectus and the risk factors and cautionary statements described in other documents that we file from time to time with the SEC, specifically under the heading “Risk Factors” and elsewhere in our most recent Annual Report on Form 10-K, as may be updated by subsequent annual, quarterly and other reports that are incorporated by reference into this prospectus. You should evaluate all forward-looking statements made in this prospectus, including the documents we incorporate by reference, in the context of these risks, uncertainties and other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made as of the date hereof and we undertake no obligation to publicly update or review any forward-looking statement, whether as a result of new information, future developments or otherwise.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S_006"/>
      <w:bookmarkEnd w:id="22"/>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up to $300,000,000 of our Class A Ordinary Shares from time to time. Because we are not required to sell any Class A Ordinary Shares under the Sales Agreement, the actual total public offering amount, commissions and proceeds to us, if any, are not determinable at this time. There can be no assurance that we will sell any Class A Ordinary Shares under or fully utilize the Sales Agreement as a source of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as working capital, including continuing to advance our pipeline through preclinical studies, clinical trials, regulatory submissions, business development, commercial planning and commercialization, and for general corporate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we cannot specify with certainty all of the particular uses of the proceeds, if any, from this offering. Accordingly, we will retain broad discretion over the use of any such proceeds. Pending the use of the net proceeds from this offering as described above, we intend to invest the net proceeds in investment-grade, interest-bearing instruments.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S_007"/>
      <w:bookmarkEnd w:id="23"/>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Class A Ordinary Shares in this offering, your ownership interest will be diluted to the extent of the difference between the purchase price per share and the as adjusted net tangible book value per share after giving effect to this offering. We calculate net tangible book value per share by dividing the net tangible book value, which is total tangible assets less total liabilities, by the number of Class A Ordinary Shares. Dilution represents the difference between the portion of the amount per share paid by purchasers of Class A Ordinary Shares in this offering and the as adjusted net tangible book value per share of Class A Ordinary Share immediately after giving effect to this offering. Our net tangible book value as of June 30, 2026, was approximately $428.2 million, or $5.12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assumed sale of 16,429,353 Class A Ordinary Shares at a sale price of $18.26 per share, the last sale price of our Class A Ordinary Shares on The Nasdaq Capital Market on August 7, 2026, after deducting commissions and estimated aggregate offering expenses payable by us, our as adjusted net tangible book value as of June 30, 2026, would have been $719.2 million, or $7.19 per Class A Ordinary Share. This represents an immediate increase in the as adjusted net tangible book value of $2.07 per share to our existing shareholders and an immediate dilution of $11.07 per share to new investors purchasing shares in this offering. The following table illustrates this per share dilution:</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70"/>
        <w:gridCol w:w="60"/>
        <w:gridCol w:w="140"/>
        <w:gridCol w:w="440"/>
        <w:gridCol w:w="60"/>
        <w:gridCol w:w="200"/>
        <w:gridCol w:w="560"/>
        <w:gridCol w:w="75"/>
      </w:tblGrid>
      <w:tr>
        <w:trPr/>
        <w:tc>
          <w:tcPr>
            <w:tcW w:w="8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Assumed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r>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18.26</w:t>
            </w:r>
          </w:p>
        </w:tc>
        <w:tc>
          <w:tcPr>
            <w:tcW w:w="75" w:type="dxa"/>
            <w:tcBorders/>
            <w:shd w:fill="CCEEFF" w:val="clear"/>
            <w:vAlign w:val="center"/>
          </w:tcPr>
          <w:p>
            <w:pPr>
              <w:pStyle w:val="TableContents"/>
              <w:bidi w:val="0"/>
              <w:spacing w:before="0" w:after="283"/>
              <w:jc w:val="left"/>
              <w:rPr/>
            </w:pPr>
            <w:r>
              <w:rPr/>
              <w:t> </w:t>
            </w:r>
          </w:p>
        </w:tc>
      </w:tr>
      <w:tr>
        <w:trPr/>
        <w:tc>
          <w:tcPr>
            <w:tcW w:w="8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tangible book value per share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in net tangible book value per share attributable to new investors in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adjusted net tangible book value per share as of June 30, 2026,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7.19 </w:t>
            </w:r>
          </w:p>
        </w:tc>
        <w:tc>
          <w:tcPr>
            <w:tcW w:w="75" w:type="dxa"/>
            <w:tcBorders/>
            <w:shd w:fill="FFFFFF" w:val="clear"/>
            <w:vAlign w:val="center"/>
          </w:tcPr>
          <w:p>
            <w:pPr>
              <w:pStyle w:val="TableContents"/>
              <w:bidi w:val="0"/>
              <w:spacing w:before="0" w:after="283"/>
              <w:jc w:val="left"/>
              <w:rPr/>
            </w:pPr>
            <w:r>
              <w:rPr/>
              <w:t> </w:t>
            </w:r>
          </w:p>
        </w:tc>
      </w:tr>
      <w:tr>
        <w:trPr/>
        <w:tc>
          <w:tcPr>
            <w:tcW w:w="8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Dilution per share to new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11.07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assumed public offering price of $18.26 per share would not affect our as adjusted net tangible book value after this offering because this offering is currently limited to $300,000,000. However, each $1.00 increase (decrease) in the assumed public offering price per share would increase (decrease) the dilution per share to new investors by approximately $0.94 per share ($0.93) per share, assuming that the aggregate dollar amount of shares offered by us, as set forth above, remains at $300,000,000 and after deducting the commissions and estimated offering expenses payable by us. The information discussed above is illustrative only and will adjust based on the actual public offering price, the actual number of shares that we offer in this offering, and other terms of this offering determined at the time of each offer and sale.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Class A Ordinary Shares that will be outstanding after this offering is based on 83,606,685 Class A Ordinary Shares outstanding as of June 30, 2026 and excludes: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2,503,611 Class A Ordinary Shares subject to stock options granted under the Incentive Plan at a weighted-average exercise price of $14.73 per share as of June 30,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6,020,591 Class A Ordinary Shares reserved for future equity award grants under the Incentive Plan as of June 30,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1,000,000 Class A Ordinary Shares issuable upon the exercise of pre-funded warrants to purchase Class A Ordinary Shares, with an exercise price of $0.0001, as of June 30, 2026;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1,500,000 Class A Ordinary Shares issued upon the exercise in full of the Over-Allotment Option, subsequent to June 30,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shares have been issued or are issued under these outstanding options at exercise prices lower than the price of our Class A Ordinary Shares in this offering, you will incur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S_008"/>
      <w:bookmarkEnd w:id="24"/>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Sales Agreement with Leerink Partners under which we may issue and sell up to $300,000,000 of our Class A Ordinary Shares from time to time through or to Leerink Partners acting as our sales agent. Sales of our Class A Ordinary Shares, if any, will be made at market prices by any method that is deemed to be an “at-the-market offering” as defined in Rule 415(a)(4) promulgated under the Securities Act, including sales made directly on or through The Nasdaq Capital Market or any other existing trading market for our Class A Ordinary Shares. The below description of the material provisions of the Sales Agreement does not purport to be a complete statement of its terms and conditions. The Sales Agreement has been filed as an exhibit to our Registration Statement on Form S-3 of which this prospectus forms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will offer our Class A Ordinary Shares, subject to the terms and conditions of the Sales Agreement, on a daily basis or as otherwise agreed upon by us and Leerink Partners. We will designate the maximum amount of Class A Ordinary Shares to be sold through Leerink Partners on a daily basis or otherwise determine such maximum amount together with Leerink Partners. Subject to the terms and conditions of the Sales Agreement, Leerink Partners will use its commercially reasonable efforts consistent with its normal trading and sales practices and applicable state and federal laws, rules and regulations and the rules of The Nasdaq Capital Market to sell on our behalf all of the Class A Ordinary Shares requested to be sold by us. We may instruct Leerink Partners not to sell our Class A Ordinary Shares if the sales cannot be effected at or above a minimum price designated by us from time to time. We or Leerink Partners may suspend the offering of our Class A Ordinary Shares under the Sales Agreement upon proper notice and subject to other conditions. Leerink Partners and we each have the right, by giving written notice as specified in the Sales Agreement, to terminate the Sales Agreement in each party’s sole discretion at any time. The offering of our Class A Ordinary Shares pursuant to the Sales Agreement will otherwise terminate upon the termination of the Sales Agreement as provided therein.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payable to Leerink Partners as sales agent will be up to 3.0% of the gross sales price of the shares sold through it pursuant to the Sales Agreement. Pursuant to the terms of the Sales Agreement, we have also agreed to reimburse Leerink Partners for certain specified expenses, including the fees and disbursements of its legal counsel, in an amount not to exceed $75,000. Additionally, pursuant to the terms of the Sales Agreement, we agreed to reimburse Leerink Partners for the documented fees and costs of its legal counsel reasonably incurred in connection with Leerink Partners’ ongoing diligence arising from the transactions contemplated by the Sales Agreement in an amount not to exceed $15,000 per calendar quarter. In accordance with FINRA Rule 5110, these reimbursed fees and expenses are deemed sales compensation to Leerink Partners in connection with this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sales proceeds, after deducting any expenses payable by us and any transaction fees imposed by any governmental, regulatory, or self-regulatory organization in connection with the sales, will equal our net proceeds for the sale of such Class A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will provide written confirmation to us following the close of trading on The Nasdaq Capital Market on each day in which Class A Ordinary Shares are sold through it as sales agent under the Sales Agreement. Each confirmation will include the number of Class A Ordinary Shares sold through it as sales agent on that day, the volume weighted average price of the shares sold, the percentage of the daily trading volume and the net proceeds to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report at least quarterly the number of Class A Ordinary Shares sold through Leerink Partners under the Sales Agreement, and the net proceeds to us and the compensation paid by us to Leerink Partners in connection with the sales of Class A Ordinary Shares during the relevant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Class A Ordinary Shares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sales of our Class A Ordinary Shares on our behalf, Leerink Partners may be deemed to be an “underwriter” within the meaning of the Securities Act, and the compensation paid to Leerink Partners may be deemed to be underwriting commissions or discounts. We have agreed in the Sales Agreement to provide indemnification and contribution to Leerink Partners against certain liabilities, including liabilities under the Securities Act. As sales agent, Leerink Partners will not engage in any transactions that stabilize our Class A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and traded on The Nasdaq Capital Market under the symbol “MLTX.” The transfer agent and registrar of our Class A Ordinary Shares is Continental Stock Transfer &amp; Trust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S_009"/>
      <w:bookmarkEnd w:id="25"/>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relating to U.S. law will be passed upon for us by Gibson, Dunn &amp; Crutcher LLP. Walkers (Cayman) LLP will pass upon the validity of the Class A Ordinary Shares offered hereby. Leerink Partners is being represented in connection with this offering by Mintz, Levin, Cohn, Ferris, Glovsky and Popeo, P.C.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S_010"/>
      <w:bookmarkEnd w:id="26"/>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MoonLake Immunotherapeutics in its Annual Report on Form 10-K for the year ended December 31, 2025, and the effectiveness of internal control over financial reporting incorporated by reference herein, have been audited by Baker Tilly US, LLP, an independent registered public accounting firm, as set forth in their report thereon incorporated by reference herein, in reliance upon such report and upon the authority of said firm as experts in accounting and auditing.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S_011"/>
      <w:bookmarkEnd w:id="27"/>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We also filed a registration statement on Form S-3, including exhibits, under the Securities Act with respect to the securities offered by this prospectus supplement and the accompanying prospectus. This prospectus supplement and the accompanying prospectus are a part of that registration statement, but do not contain all of the information included in the registration statement or the exhibits.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access our annual reports on Form 10-K, quarterly reports on Form 10-Q, current reports on Form 8-K, proxy statements on Schedule 14A and amendments or supplements to those reports and statements, filed with the SEC, free of charge at our website at </w:t>
      </w:r>
      <w:r>
        <w:rPr>
          <w:rFonts w:ascii="Times New Roman;Times;Serif" w:hAnsi="Times New Roman;Times;Serif"/>
          <w:b w:val="false"/>
          <w:i/>
          <w:caps w:val="false"/>
          <w:smallCaps w:val="false"/>
          <w:sz w:val="20"/>
        </w:rPr>
        <w:t>www.moonlaketx.com</w:t>
      </w:r>
      <w:r>
        <w:rPr>
          <w:rFonts w:ascii="Times New Roman;Times;Serif" w:hAnsi="Times New Roman;Times;Serif"/>
          <w:b w:val="false"/>
          <w:i w:val="false"/>
          <w:caps w:val="false"/>
          <w:smallCaps w:val="false"/>
          <w:sz w:val="20"/>
        </w:rPr>
        <w:t xml:space="preserve"> or by means of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The information found on, or that can be accessed from or that is hyperlinked to, our website or the SEC’s website is not part of this prospectus supplement or the accompanying prospectus and you should not rely on that information when making a decision to invest in our Class A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made in this prospectus supplement and the accompanying prospectus, periodic and current reports, proxy statements and other information filed or furnished with the SEC concerning the contents of any contract, agreement or other document is only a summary of the actual contract, agreement or other document. If we have filed any contract, document, agreement or other document as an exhibit to such filing or furnishing, you should read the exhibit for a more complete understanding of the document or matter involved. Each statement regarding a contract, agreement or other document is qualified in its entirety by reference to the actual document.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written or oral request, we will provide without charge to each person to whom a copy of this prospectus supplement or the accompanying prospectus is delivered a copy of the documents incorporated by reference herein (other than exhibits to such documents unless such exhibits are specifically incorporated by reference herein). You may request a copy of these filings, at no cost, by writing, calling or emailing us at the contact information set forth below. We have authorized no one to provide you with any information that differs from that contained in this prospectus supplement and the accompanying prospectus. Accordingly, we take no responsibility for any other information that others may give you. You should not assume that the information in this prospectus supplement and the accompanying prospectus is accurate as of any date other than the date of the front cover of this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MoonLake Immunotherapeutics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Dorfstrasse 29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6300 Zug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+41 415108022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S_012"/>
      <w:bookmarkEnd w:id="28"/>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incorporates by reference important business and financial information about the Company that is not included in or delivered with this document. The information incorporated by reference is considered to be part of this prospectus supplement, and the SEC allows us to “incorporate by reference” the information we file with it, which means that we can disclose important information to you by referring you to those documents instead of having to repeat the information in this prospectus supplement. Any information referenced in this way is considered part of this prospectus supplement. Any subsequent information filed with the SEC will automatically be deemed to update and supersede the information in this prospectus supplement and in our other filings with the SEC. We incorporate by reference:</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our Annual Report on </w:t>
            </w:r>
            <w:hyperlink r:id="rId17">
              <w:r>
                <w:rPr>
                  <w:rStyle w:val="InternetLink"/>
                  <w:rFonts w:ascii="Times New Roman;Times;Serif" w:hAnsi="Times New Roman;Times;Serif"/>
                </w:rPr>
                <w:t>Form 10-K</w:t>
              </w:r>
            </w:hyperlink>
            <w:r>
              <w:rPr>
                <w:rFonts w:ascii="Times New Roman;Times;Serif" w:hAnsi="Times New Roman;Times;Serif"/>
              </w:rPr>
              <w:t xml:space="preserve"> for the fiscal year ended December 31, 2025, filed with the SEC on February 25, 2026 (and any portions of our Definitive Proxy Statement on </w:t>
            </w:r>
            <w:hyperlink r:id="rId18">
              <w:r>
                <w:rPr>
                  <w:rStyle w:val="InternetLink"/>
                  <w:rFonts w:ascii="Times New Roman;Times;Serif" w:hAnsi="Times New Roman;Times;Serif"/>
                </w:rPr>
                <w:t>Schedule 14A</w:t>
              </w:r>
            </w:hyperlink>
            <w:r>
              <w:rPr>
                <w:rFonts w:ascii="Times New Roman;Times;Serif" w:hAnsi="Times New Roman;Times;Serif"/>
              </w:rPr>
              <w:t>, filed with the SEC on April 21, 2026, that are incorporated by reference into our Annual Report on Form 10-K for the year ended December 31,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our Quarterly Reports on Form 10-Q for the quarter ended March 31, 2026, filed with the SEC on </w:t>
            </w:r>
            <w:hyperlink r:id="rId19">
              <w:r>
                <w:rPr>
                  <w:rStyle w:val="InternetLink"/>
                  <w:rFonts w:ascii="Times New Roman;Times;Serif" w:hAnsi="Times New Roman;Times;Serif"/>
                </w:rPr>
                <w:t>May 11, 2026</w:t>
              </w:r>
            </w:hyperlink>
            <w:r>
              <w:rPr>
                <w:rFonts w:ascii="Times New Roman;Times;Serif" w:hAnsi="Times New Roman;Times;Serif"/>
              </w:rPr>
              <w:t xml:space="preserve">, and the quarter ended June 30, 2026, filed with the SEC on </w:t>
            </w:r>
            <w:hyperlink r:id="rId20">
              <w:r>
                <w:rPr>
                  <w:rStyle w:val="InternetLink"/>
                  <w:rFonts w:ascii="Times New Roman;Times;Serif" w:hAnsi="Times New Roman;Times;Serif"/>
                </w:rPr>
                <w:t>August 10, 2026</w:t>
              </w:r>
            </w:hyperlink>
            <w:r>
              <w:rPr>
                <w:rFonts w:ascii="Times New Roman;Times;Serif" w:hAnsi="Times New Roman;Times;Serif"/>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our Current Reports on Form 8-K filed with the SEC on </w:t>
            </w:r>
            <w:hyperlink r:id="rId21">
              <w:r>
                <w:rPr>
                  <w:rStyle w:val="InternetLink"/>
                  <w:rFonts w:ascii="Times New Roman;Times;Serif" w:hAnsi="Times New Roman;Times;Serif"/>
                </w:rPr>
                <w:t>January 8, 2026</w:t>
              </w:r>
            </w:hyperlink>
            <w:r>
              <w:rPr>
                <w:rFonts w:ascii="Times New Roman;Times;Serif" w:hAnsi="Times New Roman;Times;Serif"/>
              </w:rPr>
              <w:t xml:space="preserve">, </w:t>
            </w:r>
            <w:hyperlink r:id="rId22">
              <w:r>
                <w:rPr>
                  <w:rStyle w:val="InternetLink"/>
                  <w:rFonts w:ascii="Times New Roman;Times;Serif" w:hAnsi="Times New Roman;Times;Serif"/>
                </w:rPr>
                <w:t>February 23, 2026</w:t>
              </w:r>
            </w:hyperlink>
            <w:r>
              <w:rPr>
                <w:rFonts w:ascii="Times New Roman;Times;Serif" w:hAnsi="Times New Roman;Times;Serif"/>
              </w:rPr>
              <w:t xml:space="preserve">, </w:t>
            </w:r>
            <w:hyperlink r:id="rId23">
              <w:r>
                <w:rPr>
                  <w:rStyle w:val="InternetLink"/>
                  <w:rFonts w:ascii="Times New Roman;Times;Serif" w:hAnsi="Times New Roman;Times;Serif"/>
                </w:rPr>
                <w:t>June 1, 2026</w:t>
              </w:r>
            </w:hyperlink>
            <w:r>
              <w:rPr>
                <w:rFonts w:ascii="Times New Roman;Times;Serif" w:hAnsi="Times New Roman;Times;Serif"/>
              </w:rPr>
              <w:t xml:space="preserve">, </w:t>
            </w:r>
            <w:hyperlink r:id="rId24">
              <w:r>
                <w:rPr>
                  <w:rStyle w:val="InternetLink"/>
                  <w:rFonts w:ascii="Times New Roman;Times;Serif" w:hAnsi="Times New Roman;Times;Serif"/>
                </w:rPr>
                <w:t>June 9, 2026</w:t>
              </w:r>
            </w:hyperlink>
            <w:r>
              <w:rPr>
                <w:rFonts w:ascii="Times New Roman;Times;Serif" w:hAnsi="Times New Roman;Times;Serif"/>
              </w:rPr>
              <w:t xml:space="preserve">, </w:t>
            </w:r>
            <w:hyperlink r:id="rId25">
              <w:r>
                <w:rPr>
                  <w:rStyle w:val="InternetLink"/>
                  <w:rFonts w:ascii="Times New Roman;Times;Serif" w:hAnsi="Times New Roman;Times;Serif"/>
                </w:rPr>
                <w:t>June 22, 2026</w:t>
              </w:r>
            </w:hyperlink>
            <w:r>
              <w:rPr>
                <w:rFonts w:ascii="Times New Roman;Times;Serif" w:hAnsi="Times New Roman;Times;Serif"/>
              </w:rPr>
              <w:t xml:space="preserve"> (Item 8.01 only), </w:t>
            </w:r>
            <w:hyperlink r:id="rId26">
              <w:r>
                <w:rPr>
                  <w:rStyle w:val="InternetLink"/>
                  <w:rFonts w:ascii="Times New Roman;Times;Serif" w:hAnsi="Times New Roman;Times;Serif"/>
                </w:rPr>
                <w:t>June 25, 2026</w:t>
              </w:r>
            </w:hyperlink>
            <w:r>
              <w:rPr>
                <w:rFonts w:ascii="Times New Roman;Times;Serif" w:hAnsi="Times New Roman;Times;Serif"/>
              </w:rPr>
              <w:t xml:space="preserve"> and </w:t>
            </w:r>
            <w:hyperlink r:id="rId27">
              <w:r>
                <w:rPr>
                  <w:rStyle w:val="InternetLink"/>
                  <w:rFonts w:ascii="Times New Roman;Times;Serif" w:hAnsi="Times New Roman;Times;Serif"/>
                </w:rPr>
                <w:t>July 15, 2026</w:t>
              </w:r>
            </w:hyperlink>
            <w:r>
              <w:rPr>
                <w:rFonts w:ascii="Times New Roman;Times;Serif" w:hAnsi="Times New Roman;Times;Serif"/>
              </w:rPr>
              <w: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the description of our securities contained in </w:t>
            </w:r>
            <w:hyperlink r:id="rId28">
              <w:r>
                <w:rPr>
                  <w:rStyle w:val="InternetLink"/>
                  <w:rFonts w:ascii="Times New Roman;Times;Serif" w:hAnsi="Times New Roman;Times;Serif"/>
                </w:rPr>
                <w:t>Exhibit 4.1</w:t>
              </w:r>
            </w:hyperlink>
            <w:r>
              <w:rPr>
                <w:rFonts w:ascii="Times New Roman;Times;Serif" w:hAnsi="Times New Roman;Times;Serif"/>
              </w:rPr>
              <w:t xml:space="preserve"> to our Annual Report on </w:t>
            </w:r>
            <w:hyperlink r:id="rId29">
              <w:r>
                <w:rPr>
                  <w:rStyle w:val="InternetLink"/>
                  <w:rFonts w:ascii="Times New Roman;Times;Serif" w:hAnsi="Times New Roman;Times;Serif"/>
                </w:rPr>
                <w:t>Form 10-K</w:t>
              </w:r>
            </w:hyperlink>
            <w:r>
              <w:rPr>
                <w:rFonts w:ascii="Times New Roman;Times;Serif" w:hAnsi="Times New Roman;Times;Serif"/>
              </w:rPr>
              <w:t xml:space="preserve"> for the year ended December 31, 2025, as filed with the SEC on February 25, 2026, as may be further amended by any amendments or reports filed for the purposes of updating this description.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information furnished under Items 2.02 and 7.01 of any Current Report on Form 8-K, including the related exhibits under Item 9.01, is not incorporated by reference in this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supplement any further filings we make with the SEC under Sections 13(a), 13(c), 14 or 15(d) of the Exchange Act (other than portions deemed to have been “furnished” and not filed with the SEC, including those made pursuant to Item 2.02 or Item 7.01 of Form 8-K or other information), including all filings filed after the date hereof and prior to the completion of the offering of all securities under this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r>
        <w:rPr/>
        <w:t> </w:t>
      </w:r>
    </w:p>
    <w:p>
      <w:pPr>
        <w:pStyle w:val="TextBody"/>
        <w:pBdr>
          <w:bottom w:val="single" w:sz="12" w:space="1" w:color="000000"/>
        </w:pBdr>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52675" cy="62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0"/>
                    <a:stretch>
                      <a:fillRect/>
                    </a:stretch>
                  </pic:blipFill>
                  <pic:spPr bwMode="auto">
                    <a:xfrm>
                      <a:off x="0" y="0"/>
                      <a:ext cx="2352675" cy="628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IMMUNOTHERAPEUTICS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Leerink Partners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10, 2026</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payable by us in connection with the issuance and distribution of the securities being registered hereunder on Form S-3 (other than underwriting discounts and commissions, if any) are set forth below. Each item listed is estimated, except for the SEC registration fee and the FINRA filing fee.</w:t>
      </w:r>
    </w:p>
    <w:p>
      <w:pPr>
        <w:pStyle w:val="TextBody"/>
        <w:bidi w:val="0"/>
        <w:spacing w:before="0" w:after="0"/>
        <w:ind w:left="0" w:right="0" w:firstLine="360"/>
        <w:jc w:val="left"/>
        <w:rPr>
          <w:caps w:val="false"/>
          <w:smallCaps w:val="false"/>
        </w:rPr>
      </w:pPr>
      <w:r>
        <w:rPr>
          <w:caps w:val="false"/>
          <w:smallCaps w:val="false"/>
        </w:rPr>
        <w:t> </w:t>
      </w:r>
    </w:p>
    <w:tbl>
      <w:tblPr>
        <w:tblW w:w="6675" w:type="dxa"/>
        <w:jc w:val="left"/>
        <w:tblInd w:w="0" w:type="dxa"/>
        <w:tblLayout w:type="fixed"/>
        <w:tblCellMar>
          <w:top w:w="0" w:type="dxa"/>
          <w:left w:w="0" w:type="dxa"/>
          <w:bottom w:w="0" w:type="dxa"/>
          <w:right w:w="0" w:type="dxa"/>
        </w:tblCellMar>
      </w:tblPr>
      <w:tblGrid>
        <w:gridCol w:w="5060"/>
        <w:gridCol w:w="60"/>
        <w:gridCol w:w="140"/>
        <w:gridCol w:w="840"/>
        <w:gridCol w:w="575"/>
      </w:tblGrid>
      <w:tr>
        <w:trPr/>
        <w:tc>
          <w:tcPr>
            <w:tcW w:w="5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Paid</w:t>
            </w:r>
          </w:p>
        </w:tc>
        <w:tc>
          <w:tcPr>
            <w:tcW w:w="5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0" w:type="dxa"/>
            <w:tcBorders/>
            <w:shd w:fill="CCEEFF" w:val="clear"/>
            <w:vAlign w:val="center"/>
          </w:tcPr>
          <w:p>
            <w:pPr>
              <w:pStyle w:val="TableContents"/>
              <w:bidi w:val="0"/>
              <w:spacing w:before="0" w:after="283"/>
              <w:jc w:val="right"/>
              <w:rPr/>
            </w:pPr>
            <w:r>
              <w:rPr/>
              <w:t>              </w:t>
            </w:r>
          </w:p>
        </w:tc>
        <w:tc>
          <w:tcPr>
            <w:tcW w:w="5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 agent and registrar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Miscellaneous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accordance with Rules 456(b) and 457(r) of the Securities Act, we are deferring payment of the registration fee for all securities registered under this registration statement, other than the $300,000,000 of our ordinary shares that may be issued and sold from time to time under the sales agreement prospectus supplement.</w:t>
            </w:r>
          </w:p>
        </w:tc>
      </w:tr>
    </w:tbl>
    <w:p>
      <w:pPr>
        <w:pStyle w:val="TextBody"/>
        <w:bidi w:val="0"/>
        <w:spacing w:before="0" w:after="0"/>
        <w:jc w:val="left"/>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29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73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Excludes registration fee offsets pursuant to Rule 457(p) of the Securities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Estimated expenses not presently known. Each prospectus supplement will reflect estimated expenses based on the amount of the related offering.</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most cases, under Cayman Islands law, the Company will be the proper plaintiff in any claim based on a breach of duty owed to it, and a claim against (for example) the Company’s directors or officers usually may not be brought by a shareholder. In principle, a shareholder does not have a direct right of action against directors of the Company. However, based on Cayman Islands authorities and English authorities (which will be of persuasive authority in the Cayman Islands), there are exceptions to the foregoing principle such that a shareholder may be entitled to bring a derivative action on behalf of the Company, but only in limited circumstances, including but not limited to: the Company acts or proposes to act illegally or ultra vires; the act complained of (although not ultra vires) could be affected if duly authorized by a special resolution that has not been obtained; and those who control the Company are perpetuating a “fraud on the minority.” A shareholder may have a direct right of action against the Company where the individual rights of that shareholder have been or will be infringed. Derivative actions have been brought in the Cayman Islands courts, and the Cayman Islands courts have confirmed the availability for such 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 The MAA provides for indemnification for every director and officer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restrict the authority of a Cayman Islands exempted company to advance expenses incurred by an officer or director in defending any civil, criminal, administrative or investigative action, suit or proceeding, but there is no statutory provision expressly requiring or governing advancement of expenses. Instead, the ability to advance expenses is typically addressed in a Cayman Islands exempted company’s articles of association. The MAA provides for expense advancement provisions for indemnified persons.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executive officers that obligate us to indemnify, hold harmless, exonerate, and to advance expenses as incurred, to the fullest extent permitted under applicable law, from damage arising from the fact that such person is or was an officer or director of MoonLake or its subsidiaries.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MAA also provides that the Company may maintain insurance to protect a director or an officer against liability. The Company has obtained insurance that covers certain liabilities of its directors and officers.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rights set forth above shall not be exclusive of any other right which an indemnified person may have or hereafter acquire under any statute, the MAA, any agreement, any vote of shareholders or disinterested directors or otherwise.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 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exhibits filed with this registration statement on Form S-3 is set forth on the Exhibit Index and is incorporated herein by reference.</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5"/>
        <w:gridCol w:w="60"/>
        <w:gridCol w:w="9250"/>
      </w:tblGrid>
      <w:tr>
        <w:trPr/>
        <w:tc>
          <w:tcPr>
            <w:tcW w:w="8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92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8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Underwriting Agreement.</w:t>
            </w:r>
          </w:p>
        </w:tc>
      </w:tr>
      <w:tr>
        <w:trPr/>
        <w:tc>
          <w:tcPr>
            <w:tcW w:w="8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0" w:type="dxa"/>
            <w:tcBorders/>
            <w:shd w:fill="FFFFFF" w:val="clear"/>
            <w:tcMar>
              <w:bottom w:w="0" w:type="dxa"/>
            </w:tcMar>
            <w:vAlign w:val="center"/>
          </w:tcPr>
          <w:p>
            <w:pPr>
              <w:pStyle w:val="TableContents"/>
              <w:bidi w:val="0"/>
              <w:spacing w:before="0" w:after="283"/>
              <w:jc w:val="left"/>
              <w:rPr/>
            </w:pPr>
            <w:hyperlink r:id="rId31">
              <w:r>
                <w:rPr>
                  <w:rStyle w:val="InternetLink"/>
                  <w:rFonts w:ascii="Times New Roman;Times;Serif" w:hAnsi="Times New Roman;Times;Serif"/>
                  <w:sz w:val="20"/>
                </w:rPr>
                <w:t>Sales Agreement, by and between MoonLake Immunotherapeutics and Leerink Partners LLC, dated August 31, 2023 (incorporated by reference to Exhibit 1.2 of the Company’s Registration Statement on Form S-3, filed with the SEC on August 31, 2023).</w:t>
              </w:r>
            </w:hyperlink>
          </w:p>
        </w:tc>
      </w:tr>
      <w:tr>
        <w:trPr/>
        <w:tc>
          <w:tcPr>
            <w:tcW w:w="8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0" w:type="dxa"/>
            <w:tcBorders/>
            <w:shd w:fill="CCEEFF" w:val="clear"/>
            <w:tcMar>
              <w:bottom w:w="0" w:type="dxa"/>
            </w:tcMar>
            <w:vAlign w:val="center"/>
          </w:tcPr>
          <w:p>
            <w:pPr>
              <w:pStyle w:val="TableContents"/>
              <w:bidi w:val="0"/>
              <w:spacing w:before="0" w:after="283"/>
              <w:jc w:val="left"/>
              <w:rPr/>
            </w:pPr>
            <w:hyperlink w:anchor="ea030102401ex1-3.htm">
              <w:r>
                <w:rPr>
                  <w:rStyle w:val="InternetLink"/>
                  <w:rFonts w:ascii="Times New Roman;Times;Serif" w:hAnsi="Times New Roman;Times;Serif"/>
                  <w:sz w:val="20"/>
                </w:rPr>
                <w:t>Amendment No. 1 to Sales Agreement, by and between MoonLake Immunotherapeutics and Leerink Partners LLC, dated August 10, 2026.</w:t>
              </w:r>
            </w:hyperlink>
          </w:p>
        </w:tc>
      </w:tr>
      <w:tr>
        <w:trPr/>
        <w:tc>
          <w:tcPr>
            <w:tcW w:w="8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0" w:type="dxa"/>
            <w:tcBorders/>
            <w:shd w:fill="FFFFFF" w:val="clear"/>
            <w:tcMar>
              <w:bottom w:w="0" w:type="dxa"/>
            </w:tcMar>
            <w:vAlign w:val="center"/>
          </w:tcPr>
          <w:p>
            <w:pPr>
              <w:pStyle w:val="TableContents"/>
              <w:bidi w:val="0"/>
              <w:spacing w:before="0" w:after="283"/>
              <w:jc w:val="left"/>
              <w:rPr/>
            </w:pPr>
            <w:hyperlink r:id="rId32">
              <w:r>
                <w:rPr>
                  <w:rStyle w:val="InternetLink"/>
                  <w:rFonts w:ascii="Times New Roman;Times;Serif" w:hAnsi="Times New Roman;Times;Serif"/>
                  <w:sz w:val="20"/>
                </w:rPr>
                <w:t>Business Combination Agreement, dated as of October 4, 2021, by and among Helix Acquisition Corp., MoonLake Immunotherapeutics AG, the existing shareholders and option rights holders of MoonLake Immunotherapeutics AG, Helix Holdings LLC, and Matthias Bodenstedt (incorporated by reference to Exhibit 2.1 of the Company’s Form 8-K, filed with the SEC on October 4, 2021).</w:t>
              </w:r>
            </w:hyperlink>
          </w:p>
        </w:tc>
      </w:tr>
      <w:tr>
        <w:trPr/>
        <w:tc>
          <w:tcPr>
            <w:tcW w:w="8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0" w:type="dxa"/>
            <w:tcBorders/>
            <w:shd w:fill="CCEEFF" w:val="clear"/>
            <w:tcMar>
              <w:bottom w:w="0" w:type="dxa"/>
            </w:tcMar>
            <w:vAlign w:val="center"/>
          </w:tcPr>
          <w:p>
            <w:pPr>
              <w:pStyle w:val="TableContents"/>
              <w:bidi w:val="0"/>
              <w:spacing w:before="0" w:after="283"/>
              <w:jc w:val="left"/>
              <w:rPr/>
            </w:pPr>
            <w:hyperlink r:id="rId33">
              <w:r>
                <w:rPr>
                  <w:rStyle w:val="InternetLink"/>
                  <w:rFonts w:ascii="Times New Roman;Times;Serif" w:hAnsi="Times New Roman;Times;Serif"/>
                  <w:sz w:val="20"/>
                </w:rPr>
                <w:t>Memorandum and Articles of Association of MoonLake Immunotherapeutics (incorporated by reference to Exhibit 3.1 of the Company’s Form 8-K, filed with the SEC on April 11, 2022).</w:t>
              </w:r>
            </w:hyperlink>
          </w:p>
        </w:tc>
      </w:tr>
      <w:tr>
        <w:trPr/>
        <w:tc>
          <w:tcPr>
            <w:tcW w:w="8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0" w:type="dxa"/>
            <w:tcBorders/>
            <w:shd w:fill="FFFFFF" w:val="clear"/>
            <w:tcMar>
              <w:bottom w:w="0" w:type="dxa"/>
            </w:tcMar>
            <w:vAlign w:val="center"/>
          </w:tcPr>
          <w:p>
            <w:pPr>
              <w:pStyle w:val="TableContents"/>
              <w:bidi w:val="0"/>
              <w:spacing w:before="0" w:after="283"/>
              <w:jc w:val="left"/>
              <w:rPr/>
            </w:pPr>
            <w:hyperlink w:anchor="ea030102401ex4-1.htm">
              <w:r>
                <w:rPr>
                  <w:rStyle w:val="InternetLink"/>
                  <w:rFonts w:ascii="Times New Roman;Times;Serif" w:hAnsi="Times New Roman;Times;Serif"/>
                  <w:sz w:val="20"/>
                </w:rPr>
                <w:t>Form of indenture for senior debt securities and the related form of senior debt security.</w:t>
              </w:r>
            </w:hyperlink>
          </w:p>
        </w:tc>
      </w:tr>
      <w:tr>
        <w:trPr/>
        <w:tc>
          <w:tcPr>
            <w:tcW w:w="8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0" w:type="dxa"/>
            <w:tcBorders/>
            <w:shd w:fill="CCEEFF" w:val="clear"/>
            <w:tcMar>
              <w:bottom w:w="0" w:type="dxa"/>
            </w:tcMar>
            <w:vAlign w:val="center"/>
          </w:tcPr>
          <w:p>
            <w:pPr>
              <w:pStyle w:val="TableContents"/>
              <w:bidi w:val="0"/>
              <w:spacing w:before="0" w:after="283"/>
              <w:jc w:val="left"/>
              <w:rPr/>
            </w:pPr>
            <w:hyperlink w:anchor="ea030102401ex4-2.htm">
              <w:r>
                <w:rPr>
                  <w:rStyle w:val="InternetLink"/>
                  <w:rFonts w:ascii="Times New Roman;Times;Serif" w:hAnsi="Times New Roman;Times;Serif"/>
                  <w:sz w:val="20"/>
                </w:rPr>
                <w:t>Form of indenture for subordinated debt securities and related form of subordinated debt security.</w:t>
              </w:r>
            </w:hyperlink>
          </w:p>
        </w:tc>
      </w:tr>
      <w:tr>
        <w:trPr/>
        <w:tc>
          <w:tcPr>
            <w:tcW w:w="8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Warrant Agreement and Warrant Certificate.</w:t>
            </w:r>
          </w:p>
        </w:tc>
      </w:tr>
      <w:tr>
        <w:trPr/>
        <w:tc>
          <w:tcPr>
            <w:tcW w:w="8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Unit Agreement and Unit Certificate.</w:t>
            </w:r>
          </w:p>
        </w:tc>
      </w:tr>
      <w:tr>
        <w:trPr/>
        <w:tc>
          <w:tcPr>
            <w:tcW w:w="8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0" w:type="dxa"/>
            <w:tcBorders/>
            <w:shd w:fill="FFFFFF" w:val="clear"/>
            <w:tcMar>
              <w:bottom w:w="0" w:type="dxa"/>
            </w:tcMar>
            <w:vAlign w:val="center"/>
          </w:tcPr>
          <w:p>
            <w:pPr>
              <w:pStyle w:val="TableContents"/>
              <w:bidi w:val="0"/>
              <w:spacing w:before="0" w:after="283"/>
              <w:jc w:val="left"/>
              <w:rPr/>
            </w:pPr>
            <w:hyperlink w:anchor="ea030102401ex5-1.htm">
              <w:r>
                <w:rPr>
                  <w:rStyle w:val="InternetLink"/>
                  <w:rFonts w:ascii="Times New Roman;Times;Serif" w:hAnsi="Times New Roman;Times;Serif"/>
                  <w:sz w:val="20"/>
                </w:rPr>
                <w:t>Opinion of Walkers (Cayman) LLP.</w:t>
              </w:r>
            </w:hyperlink>
          </w:p>
        </w:tc>
      </w:tr>
      <w:tr>
        <w:trPr/>
        <w:tc>
          <w:tcPr>
            <w:tcW w:w="8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0" w:type="dxa"/>
            <w:tcBorders/>
            <w:shd w:fill="CCEEFF" w:val="clear"/>
            <w:tcMar>
              <w:bottom w:w="0" w:type="dxa"/>
            </w:tcMar>
            <w:vAlign w:val="center"/>
          </w:tcPr>
          <w:p>
            <w:pPr>
              <w:pStyle w:val="TableContents"/>
              <w:bidi w:val="0"/>
              <w:spacing w:before="0" w:after="283"/>
              <w:jc w:val="left"/>
              <w:rPr/>
            </w:pPr>
            <w:hyperlink w:anchor="ea030102401ex5-2.htm">
              <w:r>
                <w:rPr>
                  <w:rStyle w:val="InternetLink"/>
                  <w:rFonts w:ascii="Times New Roman;Times;Serif" w:hAnsi="Times New Roman;Times;Serif"/>
                  <w:sz w:val="20"/>
                </w:rPr>
                <w:t>Opinion of Walkers (Cayman) LLP.</w:t>
              </w:r>
            </w:hyperlink>
          </w:p>
        </w:tc>
      </w:tr>
      <w:tr>
        <w:trPr/>
        <w:tc>
          <w:tcPr>
            <w:tcW w:w="8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0" w:type="dxa"/>
            <w:tcBorders/>
            <w:shd w:fill="FFFFFF" w:val="clear"/>
            <w:tcMar>
              <w:bottom w:w="0" w:type="dxa"/>
            </w:tcMar>
            <w:vAlign w:val="center"/>
          </w:tcPr>
          <w:p>
            <w:pPr>
              <w:pStyle w:val="TableContents"/>
              <w:bidi w:val="0"/>
              <w:spacing w:before="0" w:after="283"/>
              <w:jc w:val="left"/>
              <w:rPr/>
            </w:pPr>
            <w:hyperlink w:anchor="ea030102401ex23-1.htm">
              <w:r>
                <w:rPr>
                  <w:rStyle w:val="InternetLink"/>
                  <w:rFonts w:ascii="Times New Roman;Times;Serif" w:hAnsi="Times New Roman;Times;Serif"/>
                  <w:sz w:val="20"/>
                </w:rPr>
                <w:t>Consent of Baker Tilly US, LLP.</w:t>
              </w:r>
            </w:hyperlink>
          </w:p>
        </w:tc>
      </w:tr>
      <w:tr>
        <w:trPr/>
        <w:tc>
          <w:tcPr>
            <w:tcW w:w="8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0" w:type="dxa"/>
            <w:tcBorders/>
            <w:shd w:fill="CCEEFF" w:val="clear"/>
            <w:tcMar>
              <w:bottom w:w="0" w:type="dxa"/>
            </w:tcMar>
            <w:vAlign w:val="center"/>
          </w:tcPr>
          <w:p>
            <w:pPr>
              <w:pStyle w:val="TableContents"/>
              <w:bidi w:val="0"/>
              <w:spacing w:before="0" w:after="283"/>
              <w:jc w:val="left"/>
              <w:rPr/>
            </w:pPr>
            <w:hyperlink w:anchor="ea030102401ex5-1.htm">
              <w:r>
                <w:rPr>
                  <w:rStyle w:val="InternetLink"/>
                  <w:rFonts w:ascii="Times New Roman;Times;Serif" w:hAnsi="Times New Roman;Times;Serif"/>
                  <w:sz w:val="20"/>
                </w:rPr>
                <w:t>Consent of Walkers (Cayman) LLP (included in Exhibit 5.1 hereto).</w:t>
              </w:r>
            </w:hyperlink>
          </w:p>
        </w:tc>
      </w:tr>
      <w:tr>
        <w:trPr/>
        <w:tc>
          <w:tcPr>
            <w:tcW w:w="8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0" w:type="dxa"/>
            <w:tcBorders/>
            <w:shd w:fill="FFFFFF" w:val="clear"/>
            <w:tcMar>
              <w:bottom w:w="0" w:type="dxa"/>
            </w:tcMar>
            <w:vAlign w:val="center"/>
          </w:tcPr>
          <w:p>
            <w:pPr>
              <w:pStyle w:val="TableContents"/>
              <w:bidi w:val="0"/>
              <w:spacing w:before="0" w:after="283"/>
              <w:jc w:val="left"/>
              <w:rPr/>
            </w:pPr>
            <w:hyperlink w:anchor="ea030102401ex5-2.htm">
              <w:r>
                <w:rPr>
                  <w:rStyle w:val="InternetLink"/>
                  <w:rFonts w:ascii="Times New Roman;Times;Serif" w:hAnsi="Times New Roman;Times;Serif"/>
                  <w:sz w:val="20"/>
                </w:rPr>
                <w:t>Consent of Walkers (Cayman) LLP (included in Exhibit 5.2 hereto).</w:t>
              </w:r>
            </w:hyperlink>
          </w:p>
        </w:tc>
      </w:tr>
      <w:tr>
        <w:trPr/>
        <w:tc>
          <w:tcPr>
            <w:tcW w:w="8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0" w:type="dxa"/>
            <w:tcBorders/>
            <w:shd w:fill="CCEEFF" w:val="clear"/>
            <w:tcMar>
              <w:bottom w:w="0" w:type="dxa"/>
            </w:tcMar>
            <w:vAlign w:val="center"/>
          </w:tcPr>
          <w:p>
            <w:pPr>
              <w:pStyle w:val="TableContents"/>
              <w:bidi w:val="0"/>
              <w:spacing w:before="0" w:after="283"/>
              <w:jc w:val="left"/>
              <w:rPr/>
            </w:pPr>
            <w:hyperlink w:anchor="KSA_020">
              <w:r>
                <w:rPr>
                  <w:rStyle w:val="InternetLink"/>
                  <w:rFonts w:ascii="Times New Roman;Times;Serif" w:hAnsi="Times New Roman;Times;Serif"/>
                  <w:sz w:val="20"/>
                </w:rPr>
                <w:t>Power of Attorney (included on the signature pages to the registration statement).</w:t>
              </w:r>
            </w:hyperlink>
          </w:p>
        </w:tc>
      </w:tr>
      <w:tr>
        <w:trPr/>
        <w:tc>
          <w:tcPr>
            <w:tcW w:w="8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T-1 Statement of Eligibility of Trustee for Senior Indenture under the Trust Indenture Act of 1939.</w:t>
            </w:r>
          </w:p>
        </w:tc>
      </w:tr>
      <w:tr>
        <w:trPr/>
        <w:tc>
          <w:tcPr>
            <w:tcW w:w="8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T-1 Statement of Eligibility of Trustee for Subordinated Indenture under the Trust Indenture Act of 1939.</w:t>
            </w:r>
          </w:p>
        </w:tc>
      </w:tr>
      <w:tr>
        <w:trPr/>
        <w:tc>
          <w:tcPr>
            <w:tcW w:w="8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0" w:type="dxa"/>
            <w:tcBorders/>
            <w:shd w:fill="FFFFFF" w:val="clear"/>
            <w:tcMar>
              <w:bottom w:w="0" w:type="dxa"/>
            </w:tcMar>
            <w:vAlign w:val="center"/>
          </w:tcPr>
          <w:p>
            <w:pPr>
              <w:pStyle w:val="TableContents"/>
              <w:bidi w:val="0"/>
              <w:spacing w:before="0" w:after="283"/>
              <w:jc w:val="left"/>
              <w:rPr/>
            </w:pPr>
            <w:hyperlink w:anchor="ea030102401ex-fee.htm">
              <w:r>
                <w:rPr>
                  <w:rStyle w:val="InternetLink"/>
                  <w:rFonts w:ascii="Times New Roman;Times;Serif" w:hAnsi="Times New Roman;Times;Serif"/>
                  <w:sz w:val="20"/>
                </w:rPr>
                <w:t>Filing Fee Table.</w:t>
              </w:r>
            </w:hyperlink>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be filed, if necessary, by amendment or as an exhibit to a document to be incorporated or deemed to be incorporated by reference in this registration statement, including a Current Report on Form 8-K.</w:t>
            </w:r>
          </w:p>
        </w:tc>
      </w:tr>
    </w:tbl>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be filed in accordance with the requirements of Section 305(b)(2) of the Trust Indenture Act of 1939, as amended, and the applicable rules thereunder.</w:t>
            </w:r>
          </w:p>
        </w:tc>
      </w:tr>
    </w:tbl>
    <w:tbl>
      <w:tblPr>
        <w:tblW w:w="1878" w:type="dxa"/>
        <w:jc w:val="left"/>
        <w:tblInd w:w="0" w:type="dxa"/>
        <w:tblLayout w:type="fixed"/>
        <w:tblCellMar>
          <w:top w:w="0" w:type="dxa"/>
          <w:left w:w="0" w:type="dxa"/>
          <w:bottom w:w="0" w:type="dxa"/>
          <w:right w:w="0" w:type="dxa"/>
        </w:tblCellMar>
      </w:tblPr>
      <w:tblGrid>
        <w:gridCol w:w="38"/>
        <w:gridCol w:w="38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Filed herewith.</w:t>
            </w:r>
          </w:p>
        </w:tc>
      </w:tr>
    </w:tbl>
    <w:tbl>
      <w:tblPr>
        <w:tblW w:w="10158" w:type="dxa"/>
        <w:jc w:val="left"/>
        <w:tblInd w:w="0" w:type="dxa"/>
        <w:tblLayout w:type="fixed"/>
        <w:tblCellMar>
          <w:top w:w="0" w:type="dxa"/>
          <w:left w:w="0" w:type="dxa"/>
          <w:bottom w:w="0" w:type="dxa"/>
          <w:right w:w="0" w:type="dxa"/>
        </w:tblCellMar>
      </w:tblPr>
      <w:tblGrid>
        <w:gridCol w:w="38"/>
        <w:gridCol w:w="140"/>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annexes, schedules, and certain exhibits to this Exhibit have been omitted pursuant to Item 601(a)(5).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92"/>
        <w:gridCol w:w="9675"/>
      </w:tblGrid>
      <w:tr>
        <w:trPr/>
        <w:tc>
          <w:tcPr>
            <w:tcW w:w="3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(a)(1)</w:t>
            </w:r>
          </w:p>
        </w:tc>
        <w:tc>
          <w:tcPr>
            <w:tcW w:w="9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file, during any period in which offers or sales are being made, a post-effective amendment to this registration statement:</w:t>
            </w:r>
          </w:p>
        </w:tc>
      </w:tr>
    </w:tbl>
    <w:p>
      <w:pPr>
        <w:pStyle w:val="TextBody"/>
        <w:bidi w:val="0"/>
        <w:spacing w:before="0" w:after="0"/>
        <w:ind w:left="0" w:right="0" w:firstLine="36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72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include any prospectus required by Section 10(a)(3) of the Securities Act;</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tc>
      </w:tr>
    </w:tbl>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include any material information with respect to the plan of distribution not previously disclosed in the registration statement or any material change to such information in the registration statement; provided, however,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the registration statement, or is contained in a form of prospectus filed pursuant to Rule 424(b) that is part of the registration statement;</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remove from registration by means of a post-effective amendment any of the securities being registered which remain unsold at the termination of the offering;</w:t>
            </w:r>
          </w:p>
        </w:tc>
      </w:tr>
    </w:tbl>
    <w:p>
      <w:pPr>
        <w:pStyle w:val="TextBody"/>
        <w:bidi w:val="0"/>
        <w:spacing w:before="0" w:after="0"/>
        <w:ind w:left="0" w:right="0" w:firstLine="36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29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8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for the purpose of determining liability under the Securities Act to any purchaser:</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preliminary prospectus or prospectus of the undersigned registrant relating to the offering required to be filed pursuant to Rule 424;</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free writing prospectus relating to the offering prepared by or on behalf of the undersigned registrant or used or referred to by the undersigned registrant;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other communication that is an offer in the offering made by the undersigned registrant to the purchaser;</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9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99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99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 and</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7"/>
        <w:gridCol w:w="9810"/>
      </w:tblGrid>
      <w:tr>
        <w:trPr/>
        <w:tc>
          <w:tcPr>
            <w:tcW w:w="3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98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file an application for the purpose of determining the eligibility of the trustee to act under subsection (a) of Section 310 of the Trust Indenture Act of 1939 in accordance with the rules and regulations prescribed by the Securities and Exchange Commission under Section 305(b)(2) of the Trust Indenture Act of 1939.</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KSA_020"/>
      <w:bookmarkEnd w:id="29"/>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Zug, Switzerland, on August 10, 2026.</w:t>
      </w:r>
    </w:p>
    <w:p>
      <w:pPr>
        <w:pStyle w:val="TextBody"/>
        <w:bidi w:val="0"/>
        <w:spacing w:before="0" w:after="0"/>
        <w:ind w:left="0" w:right="0" w:firstLine="36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75"/>
        <w:gridCol w:w="355"/>
        <w:gridCol w:w="655"/>
        <w:gridCol w:w="2623"/>
      </w:tblGrid>
      <w:tr>
        <w:trPr/>
        <w:tc>
          <w:tcPr>
            <w:tcW w:w="75" w:type="dxa"/>
            <w:tcBorders/>
            <w:vAlign w:val="center"/>
          </w:tcPr>
          <w:p>
            <w:pPr>
              <w:pStyle w:val="TableContents"/>
              <w:bidi w:val="0"/>
              <w:spacing w:before="0" w:after="283"/>
              <w:jc w:val="left"/>
              <w:rPr/>
            </w:pPr>
            <w:r>
              <w:rPr/>
              <w:t> </w:t>
            </w:r>
          </w:p>
        </w:tc>
        <w:tc>
          <w:tcPr>
            <w:tcW w:w="363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MOONLAKE IMMUNOTHERAPEUTICS</w:t>
            </w:r>
          </w:p>
        </w:tc>
      </w:tr>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pPr>
            <w:r>
              <w:rPr/>
              <w:t> </w:t>
            </w:r>
          </w:p>
        </w:tc>
        <w:tc>
          <w:tcPr>
            <w:tcW w:w="26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78"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Dr. Jorge Santos da Silva</w:t>
            </w:r>
          </w:p>
        </w:tc>
      </w:tr>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6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Jorge Santos da Silva</w:t>
            </w:r>
          </w:p>
        </w:tc>
      </w:tr>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6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pPr>
            <w:r>
              <w:rPr/>
              <w:t> </w:t>
            </w:r>
          </w:p>
        </w:tc>
        <w:tc>
          <w:tcPr>
            <w:tcW w:w="26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 AND 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individual signature appears below hereby authorizes and appoints Dr. Jorge Santos da Silva and Matthias Bodenstedt and each of them, with full power of substitution and resubstitution and full power to act without the other, as his or her true and lawful attorney in fact and agent to act in his or her name, place and stead and to execute in the name and on behalf of each person, individually and in each capacity stated below, and to file any and all amendments to this Registration Statement, including any and all post effective amendments and amendments thereto, and any registration statement relating to the same offering as this Registration Statement that is to be effective upon filing pursuant to Rule 462(b) under the Securities Act of 1933, as amended, and to file the same, with all exhibits thereto, and other documents in connection therewith, with the Securities and Exchange Commission, granting unto said attorneys in fact and agents, and each of them, full power and authority to do and perform each and every act and thing, ratifying and confirming all that said attorneys in fact and agents or any of them or their or his substitute or substitutes may lawfully do or cause to be done by virtue thereof.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and Power of Attorney has been signed by the following person in the capacities and on the date indicated.</w:t>
      </w:r>
    </w:p>
    <w:p>
      <w:pPr>
        <w:pStyle w:val="TextBody"/>
        <w:bidi w:val="0"/>
        <w:spacing w:before="0" w:after="0"/>
        <w:ind w:left="0" w:right="0" w:firstLine="360"/>
        <w:jc w:val="left"/>
        <w:rPr>
          <w:caps w:val="false"/>
          <w:smallCaps w:val="false"/>
        </w:rPr>
      </w:pPr>
      <w:r>
        <w:rPr>
          <w:caps w:val="false"/>
          <w:smallCaps w:val="false"/>
        </w:rPr>
        <w:t> </w:t>
      </w:r>
    </w:p>
    <w:tbl>
      <w:tblPr>
        <w:tblW w:w="8730" w:type="dxa"/>
        <w:jc w:val="left"/>
        <w:tblInd w:w="0" w:type="dxa"/>
        <w:tblLayout w:type="fixed"/>
        <w:tblCellMar>
          <w:top w:w="0" w:type="dxa"/>
          <w:left w:w="0" w:type="dxa"/>
          <w:bottom w:w="28" w:type="dxa"/>
          <w:right w:w="0" w:type="dxa"/>
        </w:tblCellMar>
      </w:tblPr>
      <w:tblGrid>
        <w:gridCol w:w="2285"/>
        <w:gridCol w:w="60"/>
        <w:gridCol w:w="4940"/>
        <w:gridCol w:w="60"/>
        <w:gridCol w:w="1385"/>
      </w:tblGrid>
      <w:tr>
        <w:trPr/>
        <w:tc>
          <w:tcPr>
            <w:tcW w:w="22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9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2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8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Dr. Jorge Santos da Silva</w:t>
            </w:r>
          </w:p>
        </w:tc>
        <w:tc>
          <w:tcPr>
            <w:tcW w:w="60" w:type="dxa"/>
            <w:tcBorders/>
            <w:tcMar>
              <w:bottom w:w="0" w:type="dxa"/>
            </w:tcMar>
            <w:vAlign w:val="center"/>
          </w:tcPr>
          <w:p>
            <w:pPr>
              <w:pStyle w:val="TableContents"/>
              <w:bidi w:val="0"/>
              <w:spacing w:before="0" w:after="283"/>
              <w:jc w:val="left"/>
              <w:rPr/>
            </w:pPr>
            <w:r>
              <w:rPr/>
              <w:t> </w:t>
            </w:r>
          </w:p>
        </w:tc>
        <w:tc>
          <w:tcPr>
            <w:tcW w:w="494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Interim Chair of the Board; Director</w:t>
              <w:b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8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10, 2026</w:t>
            </w:r>
          </w:p>
        </w:tc>
      </w:tr>
      <w:tr>
        <w:trPr/>
        <w:tc>
          <w:tcPr>
            <w:tcW w:w="22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Dr. Jorge Santos da Silva</w:t>
            </w:r>
          </w:p>
        </w:tc>
        <w:tc>
          <w:tcPr>
            <w:tcW w:w="60" w:type="dxa"/>
            <w:tcBorders/>
            <w:tcMar>
              <w:bottom w:w="0" w:type="dxa"/>
            </w:tcMar>
            <w:vAlign w:val="center"/>
          </w:tcPr>
          <w:p>
            <w:pPr>
              <w:pStyle w:val="TableContents"/>
              <w:bidi w:val="0"/>
              <w:spacing w:before="0" w:after="283"/>
              <w:jc w:val="left"/>
              <w:rPr/>
            </w:pPr>
            <w:r>
              <w:rPr/>
              <w:t> </w:t>
            </w:r>
          </w:p>
        </w:tc>
        <w:tc>
          <w:tcPr>
            <w:tcW w:w="494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385" w:type="dxa"/>
            <w:vMerge w:val="continue"/>
            <w:tcBorders/>
            <w:tcMar>
              <w:bottom w:w="0" w:type="dxa"/>
            </w:tcMar>
            <w:vAlign w:val="center"/>
          </w:tcPr>
          <w:p>
            <w:pPr>
              <w:pStyle w:val="Normal"/>
              <w:bidi w:val="0"/>
              <w:jc w:val="left"/>
              <w:rPr/>
            </w:pPr>
            <w:r>
              <w:rPr/>
            </w:r>
          </w:p>
        </w:tc>
      </w:tr>
      <w:tr>
        <w:trPr/>
        <w:tc>
          <w:tcPr>
            <w:tcW w:w="22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8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Matthias Bodenstedt</w:t>
            </w:r>
          </w:p>
        </w:tc>
        <w:tc>
          <w:tcPr>
            <w:tcW w:w="60" w:type="dxa"/>
            <w:tcBorders/>
            <w:tcMar>
              <w:bottom w:w="0" w:type="dxa"/>
            </w:tcMar>
            <w:vAlign w:val="center"/>
          </w:tcPr>
          <w:p>
            <w:pPr>
              <w:pStyle w:val="TableContents"/>
              <w:bidi w:val="0"/>
              <w:spacing w:before="0" w:after="283"/>
              <w:jc w:val="left"/>
              <w:rPr/>
            </w:pPr>
            <w:r>
              <w:rPr/>
              <w:t> </w:t>
            </w:r>
          </w:p>
        </w:tc>
        <w:tc>
          <w:tcPr>
            <w:tcW w:w="494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b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8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10, 2026</w:t>
            </w:r>
          </w:p>
        </w:tc>
      </w:tr>
      <w:tr>
        <w:trPr/>
        <w:tc>
          <w:tcPr>
            <w:tcW w:w="22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Matthias Bodenstedt</w:t>
            </w:r>
          </w:p>
        </w:tc>
        <w:tc>
          <w:tcPr>
            <w:tcW w:w="60" w:type="dxa"/>
            <w:tcBorders/>
            <w:tcMar>
              <w:bottom w:w="0" w:type="dxa"/>
            </w:tcMar>
            <w:vAlign w:val="center"/>
          </w:tcPr>
          <w:p>
            <w:pPr>
              <w:pStyle w:val="TableContents"/>
              <w:bidi w:val="0"/>
              <w:spacing w:before="0" w:after="283"/>
              <w:jc w:val="left"/>
              <w:rPr/>
            </w:pPr>
            <w:r>
              <w:rPr/>
              <w:t> </w:t>
            </w:r>
          </w:p>
        </w:tc>
        <w:tc>
          <w:tcPr>
            <w:tcW w:w="494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385" w:type="dxa"/>
            <w:vMerge w:val="continue"/>
            <w:tcBorders/>
            <w:tcMar>
              <w:bottom w:w="0" w:type="dxa"/>
            </w:tcMar>
            <w:vAlign w:val="center"/>
          </w:tcPr>
          <w:p>
            <w:pPr>
              <w:pStyle w:val="Normal"/>
              <w:bidi w:val="0"/>
              <w:jc w:val="left"/>
              <w:rPr/>
            </w:pPr>
            <w:r>
              <w:rPr/>
            </w:r>
          </w:p>
        </w:tc>
      </w:tr>
      <w:tr>
        <w:trPr/>
        <w:tc>
          <w:tcPr>
            <w:tcW w:w="22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8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Spike Loy</w:t>
            </w:r>
          </w:p>
        </w:tc>
        <w:tc>
          <w:tcPr>
            <w:tcW w:w="60" w:type="dxa"/>
            <w:tcBorders/>
            <w:tcMar>
              <w:bottom w:w="0" w:type="dxa"/>
            </w:tcMar>
            <w:vAlign w:val="center"/>
          </w:tcPr>
          <w:p>
            <w:pPr>
              <w:pStyle w:val="TableContents"/>
              <w:bidi w:val="0"/>
              <w:spacing w:before="0" w:after="283"/>
              <w:jc w:val="left"/>
              <w:rPr/>
            </w:pPr>
            <w:r>
              <w:rPr/>
              <w:t> </w:t>
            </w:r>
          </w:p>
        </w:tc>
        <w:tc>
          <w:tcPr>
            <w:tcW w:w="494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10, 2026</w:t>
            </w:r>
          </w:p>
        </w:tc>
      </w:tr>
      <w:tr>
        <w:trPr/>
        <w:tc>
          <w:tcPr>
            <w:tcW w:w="22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Spike Loy</w:t>
            </w:r>
          </w:p>
        </w:tc>
        <w:tc>
          <w:tcPr>
            <w:tcW w:w="60" w:type="dxa"/>
            <w:tcBorders/>
            <w:tcMar>
              <w:bottom w:w="0" w:type="dxa"/>
            </w:tcMar>
            <w:vAlign w:val="center"/>
          </w:tcPr>
          <w:p>
            <w:pPr>
              <w:pStyle w:val="TableContents"/>
              <w:bidi w:val="0"/>
              <w:spacing w:before="0" w:after="283"/>
              <w:jc w:val="left"/>
              <w:rPr/>
            </w:pPr>
            <w:r>
              <w:rPr/>
              <w:t> </w:t>
            </w:r>
          </w:p>
        </w:tc>
        <w:tc>
          <w:tcPr>
            <w:tcW w:w="494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385" w:type="dxa"/>
            <w:vMerge w:val="continue"/>
            <w:tcBorders/>
            <w:tcMar>
              <w:bottom w:w="0" w:type="dxa"/>
            </w:tcMar>
            <w:vAlign w:val="center"/>
          </w:tcPr>
          <w:p>
            <w:pPr>
              <w:pStyle w:val="Normal"/>
              <w:bidi w:val="0"/>
              <w:jc w:val="left"/>
              <w:rPr/>
            </w:pPr>
            <w:r>
              <w:rPr/>
            </w:r>
          </w:p>
        </w:tc>
      </w:tr>
      <w:tr>
        <w:trPr/>
        <w:tc>
          <w:tcPr>
            <w:tcW w:w="22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8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Catherine Moukheibir</w:t>
            </w:r>
          </w:p>
        </w:tc>
        <w:tc>
          <w:tcPr>
            <w:tcW w:w="60" w:type="dxa"/>
            <w:tcBorders/>
            <w:tcMar>
              <w:bottom w:w="0" w:type="dxa"/>
            </w:tcMar>
            <w:vAlign w:val="center"/>
          </w:tcPr>
          <w:p>
            <w:pPr>
              <w:pStyle w:val="TableContents"/>
              <w:bidi w:val="0"/>
              <w:spacing w:before="0" w:after="283"/>
              <w:jc w:val="left"/>
              <w:rPr/>
            </w:pPr>
            <w:r>
              <w:rPr/>
              <w:t> </w:t>
            </w:r>
          </w:p>
        </w:tc>
        <w:tc>
          <w:tcPr>
            <w:tcW w:w="494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10, 2026</w:t>
            </w:r>
          </w:p>
        </w:tc>
      </w:tr>
      <w:tr>
        <w:trPr/>
        <w:tc>
          <w:tcPr>
            <w:tcW w:w="22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Catherine Moukheibir</w:t>
            </w:r>
          </w:p>
        </w:tc>
        <w:tc>
          <w:tcPr>
            <w:tcW w:w="60" w:type="dxa"/>
            <w:tcBorders/>
            <w:tcMar>
              <w:bottom w:w="0" w:type="dxa"/>
            </w:tcMar>
            <w:vAlign w:val="center"/>
          </w:tcPr>
          <w:p>
            <w:pPr>
              <w:pStyle w:val="TableContents"/>
              <w:bidi w:val="0"/>
              <w:spacing w:before="0" w:after="283"/>
              <w:jc w:val="left"/>
              <w:rPr/>
            </w:pPr>
            <w:r>
              <w:rPr/>
              <w:t> </w:t>
            </w:r>
          </w:p>
        </w:tc>
        <w:tc>
          <w:tcPr>
            <w:tcW w:w="494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385" w:type="dxa"/>
            <w:vMerge w:val="continue"/>
            <w:tcBorders/>
            <w:tcMar>
              <w:bottom w:w="0" w:type="dxa"/>
            </w:tcMar>
            <w:vAlign w:val="center"/>
          </w:tcPr>
          <w:p>
            <w:pPr>
              <w:pStyle w:val="Normal"/>
              <w:bidi w:val="0"/>
              <w:jc w:val="left"/>
              <w:rPr/>
            </w:pPr>
            <w:r>
              <w:rPr/>
            </w:r>
          </w:p>
        </w:tc>
      </w:tr>
      <w:tr>
        <w:trPr/>
        <w:tc>
          <w:tcPr>
            <w:tcW w:w="22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8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Dr. Andrew Phillips</w:t>
            </w:r>
          </w:p>
        </w:tc>
        <w:tc>
          <w:tcPr>
            <w:tcW w:w="60" w:type="dxa"/>
            <w:tcBorders/>
            <w:tcMar>
              <w:bottom w:w="0" w:type="dxa"/>
            </w:tcMar>
            <w:vAlign w:val="center"/>
          </w:tcPr>
          <w:p>
            <w:pPr>
              <w:pStyle w:val="TableContents"/>
              <w:bidi w:val="0"/>
              <w:spacing w:before="0" w:after="283"/>
              <w:jc w:val="left"/>
              <w:rPr/>
            </w:pPr>
            <w:r>
              <w:rPr/>
              <w:t> </w:t>
            </w:r>
          </w:p>
        </w:tc>
        <w:tc>
          <w:tcPr>
            <w:tcW w:w="494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10, 2026</w:t>
            </w:r>
          </w:p>
        </w:tc>
      </w:tr>
      <w:tr>
        <w:trPr/>
        <w:tc>
          <w:tcPr>
            <w:tcW w:w="22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Dr. Andrew Phillips</w:t>
            </w:r>
          </w:p>
        </w:tc>
        <w:tc>
          <w:tcPr>
            <w:tcW w:w="60" w:type="dxa"/>
            <w:tcBorders/>
            <w:tcMar>
              <w:bottom w:w="0" w:type="dxa"/>
            </w:tcMar>
            <w:vAlign w:val="center"/>
          </w:tcPr>
          <w:p>
            <w:pPr>
              <w:pStyle w:val="TableContents"/>
              <w:bidi w:val="0"/>
              <w:spacing w:before="0" w:after="283"/>
              <w:jc w:val="left"/>
              <w:rPr/>
            </w:pPr>
            <w:r>
              <w:rPr/>
              <w:t> </w:t>
            </w:r>
          </w:p>
        </w:tc>
        <w:tc>
          <w:tcPr>
            <w:tcW w:w="494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385" w:type="dxa"/>
            <w:vMerge w:val="continue"/>
            <w:tcBorders/>
            <w:tcMar>
              <w:bottom w:w="0" w:type="dxa"/>
            </w:tcMar>
            <w:vAlign w:val="center"/>
          </w:tcPr>
          <w:p>
            <w:pPr>
              <w:pStyle w:val="Normal"/>
              <w:bidi w:val="0"/>
              <w:jc w:val="left"/>
              <w:rPr/>
            </w:pPr>
            <w:r>
              <w:rPr/>
            </w:r>
          </w:p>
        </w:tc>
      </w:tr>
      <w:tr>
        <w:trPr/>
        <w:tc>
          <w:tcPr>
            <w:tcW w:w="22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8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Dr. Ramnik Xavier</w:t>
            </w:r>
          </w:p>
        </w:tc>
        <w:tc>
          <w:tcPr>
            <w:tcW w:w="60" w:type="dxa"/>
            <w:tcBorders/>
            <w:tcMar>
              <w:bottom w:w="0" w:type="dxa"/>
            </w:tcMar>
            <w:vAlign w:val="center"/>
          </w:tcPr>
          <w:p>
            <w:pPr>
              <w:pStyle w:val="TableContents"/>
              <w:bidi w:val="0"/>
              <w:spacing w:before="0" w:after="283"/>
              <w:jc w:val="left"/>
              <w:rPr/>
            </w:pPr>
            <w:r>
              <w:rPr/>
              <w:t> </w:t>
            </w:r>
          </w:p>
        </w:tc>
        <w:tc>
          <w:tcPr>
            <w:tcW w:w="494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10, 2026</w:t>
            </w:r>
          </w:p>
        </w:tc>
      </w:tr>
      <w:tr>
        <w:trPr/>
        <w:tc>
          <w:tcPr>
            <w:tcW w:w="22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Dr. Ramnik Xavier</w:t>
            </w:r>
          </w:p>
        </w:tc>
        <w:tc>
          <w:tcPr>
            <w:tcW w:w="60" w:type="dxa"/>
            <w:tcBorders/>
            <w:tcMar>
              <w:bottom w:w="0" w:type="dxa"/>
            </w:tcMar>
            <w:vAlign w:val="center"/>
          </w:tcPr>
          <w:p>
            <w:pPr>
              <w:pStyle w:val="TableContents"/>
              <w:bidi w:val="0"/>
              <w:spacing w:before="0" w:after="283"/>
              <w:jc w:val="left"/>
              <w:rPr/>
            </w:pPr>
            <w:r>
              <w:rPr/>
              <w:t> </w:t>
            </w:r>
          </w:p>
        </w:tc>
        <w:tc>
          <w:tcPr>
            <w:tcW w:w="494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jc w:val="left"/>
              <w:rPr/>
            </w:pPr>
            <w:r>
              <w:rPr/>
              <w:t> </w:t>
            </w:r>
          </w:p>
          <w:p>
            <w:pPr>
              <w:pStyle w:val="TableContents"/>
              <w:bidi w:val="0"/>
              <w:spacing w:before="0" w:after="283"/>
              <w:jc w:val="left"/>
              <w:rPr/>
            </w:pPr>
            <w:r>
              <w:rPr/>
              <w:t> </w:t>
            </w:r>
          </w:p>
        </w:tc>
        <w:tc>
          <w:tcPr>
            <w:tcW w:w="1385" w:type="dxa"/>
            <w:vMerge w:val="continue"/>
            <w:tcBorders/>
            <w:tcMar>
              <w:bottom w:w="0" w:type="dxa"/>
            </w:tcMar>
            <w:vAlign w:val="center"/>
          </w:tcPr>
          <w:p>
            <w:pPr>
              <w:pStyle w:val="Normal"/>
              <w:bidi w:val="0"/>
              <w:jc w:val="left"/>
              <w:rPr/>
            </w:pPr>
            <w:r>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REPRESENTATIVE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6(a) of the Securities Act of 1933, the undersigned has signed this registration statement, solely in its capacity as the duly authorized representative of MoonLake Immunotherapeutics, in San Francisco, California on August 10, 2026.</w:t>
      </w:r>
    </w:p>
    <w:p>
      <w:pPr>
        <w:pStyle w:val="TextBody"/>
        <w:bidi w:val="0"/>
        <w:spacing w:before="0" w:after="0"/>
        <w:ind w:left="0" w:right="0" w:firstLine="36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75"/>
        <w:gridCol w:w="816"/>
        <w:gridCol w:w="2818"/>
      </w:tblGrid>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MOONLAKE IMMUNOTHERAPEUTICS</w:t>
            </w:r>
          </w:p>
        </w:tc>
      </w:tr>
      <w:tr>
        <w:trPr/>
        <w:tc>
          <w:tcPr>
            <w:tcW w:w="7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28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18"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Spike Loy                 </w:t>
            </w:r>
          </w:p>
        </w:tc>
      </w:tr>
      <w:tr>
        <w:trPr/>
        <w:tc>
          <w:tcPr>
            <w:tcW w:w="7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Spike Loy</w:t>
            </w:r>
          </w:p>
        </w:tc>
      </w:tr>
      <w:tr>
        <w:trPr/>
        <w:tc>
          <w:tcPr>
            <w:tcW w:w="7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ea030102401ex1-3.htm"/>
      <w:bookmarkStart w:id="31" w:name="ksea030102401ex13"/>
      <w:bookmarkEnd w:id="30"/>
      <w:bookmarkEnd w:id="31"/>
      <w:r>
        <w:rPr>
          <w:rFonts w:ascii="Times New Roman;Times;Serif" w:hAnsi="Times New Roman;Times;Serif"/>
          <w:b/>
          <w:i w:val="false"/>
          <w:caps w:val="false"/>
          <w:smallCaps w:val="false"/>
          <w:sz w:val="20"/>
        </w:rPr>
        <w:t>Exhibit 1.3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AMENDMENT NO. 1 TO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SALES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w:t>
      </w:r>
      <w:r>
        <w:rPr>
          <w:rFonts w:ascii="Times New Roman;Times;Serif" w:hAnsi="Times New Roman;Times;Serif"/>
          <w:b/>
          <w:i w:val="false"/>
          <w:caps w:val="false"/>
          <w:smallCaps w:val="false"/>
          <w:sz w:val="20"/>
        </w:rPr>
        <w:t>Amendment No. 1</w:t>
      </w:r>
      <w:r>
        <w:rPr>
          <w:rFonts w:ascii="Times New Roman;Times;Serif" w:hAnsi="Times New Roman;Times;Serif"/>
          <w:b w:val="false"/>
          <w:i w:val="false"/>
          <w:caps w:val="false"/>
          <w:smallCaps w:val="false"/>
          <w:sz w:val="20"/>
        </w:rPr>
        <w:t>”) amends that certain Sales Agreement, dated as of August 31, 2023 (as amended,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by and between MoonLake Immunotherapeutics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Leerink Partners LLC, as sales agent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Defined terms used herein and not otherwise defined shall have the meaning assigned to such terms in the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15 of the Agreement permits the Company and the Agent to amend the Agreement pursuant to a written instrument executed by the Company and the Agent;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Agent now desire to amend the Agreement as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other good and valuable consideration, the receipt and sufficiency of which are hereby acknowledged, the Company and the Agent agree as follows:</w:t>
      </w:r>
    </w:p>
    <w:p>
      <w:pPr>
        <w:pStyle w:val="TextBody"/>
        <w:bidi w:val="0"/>
        <w:spacing w:before="0" w:after="0"/>
        <w:ind w:left="720" w:right="0" w:hanging="360"/>
        <w:jc w:val="both"/>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17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first paragraph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the Agreement is amended and restated in its entirety as set forth below:</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and the Memorandum and Articles of Association of the Company, it may issue and sell through the Agent Class A ordinary shares, par value $0.0001 per share, of the Company (the “</w:t>
      </w:r>
      <w:r>
        <w:rPr>
          <w:rFonts w:ascii="Times New Roman;Times;Serif" w:hAnsi="Times New Roman;Times;Serif"/>
          <w:b/>
          <w:i w:val="false"/>
          <w:caps w:val="false"/>
          <w:smallCaps w:val="false"/>
          <w:sz w:val="20"/>
          <w:u w:val="single"/>
        </w:rPr>
        <w:t>Ordinary Shares</w:t>
      </w:r>
      <w:r>
        <w:rPr>
          <w:rFonts w:ascii="Times New Roman;Times;Serif" w:hAnsi="Times New Roman;Times;Serif"/>
          <w:b w:val="false"/>
          <w:i w:val="false"/>
          <w:caps w:val="false"/>
          <w:smallCaps w:val="false"/>
          <w:sz w:val="20"/>
        </w:rPr>
        <w:t>”), having an aggregate offering price not exceeding the Maximum Program Amount, subject to the limitations set forth in Section 5(c) (the “</w:t>
      </w:r>
      <w:r>
        <w:rPr>
          <w:rFonts w:ascii="Times New Roman;Times;Serif" w:hAnsi="Times New Roman;Times;Serif"/>
          <w:b/>
          <w:i w:val="false"/>
          <w:caps w:val="false"/>
          <w:smallCaps w:val="false"/>
          <w:sz w:val="20"/>
          <w:u w:val="single"/>
        </w:rPr>
        <w:t>Placement Shares</w:t>
      </w:r>
      <w:r>
        <w:rPr>
          <w:rFonts w:ascii="Times New Roman;Times;Serif" w:hAnsi="Times New Roman;Times;Serif"/>
          <w:b w:val="false"/>
          <w:i w:val="false"/>
          <w:caps w:val="false"/>
          <w:smallCaps w:val="false"/>
          <w:sz w:val="20"/>
        </w:rPr>
        <w:t>”). Notwithstanding anything to the contrary contained herein, the 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to be filed by the Company with the Securities and Exchange Commission (the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although nothing in this Agreement shall be construed as requiring the Company to issue any Placement Shares.”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to the “</w:t>
            </w:r>
            <w:r>
              <w:rPr>
                <w:rFonts w:ascii="Times New Roman;Times;Serif" w:hAnsi="Times New Roman;Times;Serif"/>
                <w:b/>
                <w:i w:val="false"/>
                <w:caps w:val="false"/>
                <w:smallCaps w:val="false"/>
                <w:sz w:val="20"/>
                <w:u w:val="single"/>
              </w:rPr>
              <w:t>Maximum Program Amount</w:t>
            </w:r>
            <w:r>
              <w:rPr>
                <w:rFonts w:ascii="Times New Roman;Times;Serif" w:hAnsi="Times New Roman;Times;Serif"/>
                <w:b w:val="false"/>
                <w:i w:val="false"/>
                <w:caps w:val="false"/>
                <w:smallCaps w:val="false"/>
                <w:sz w:val="20"/>
              </w:rPr>
              <w:t>” in the Agreement shall refer to the lesser number of (a) the number or dollar amount of Ordinary Shares registered on the effective Registration Statement pursuant to which the offering is being made, (b) the number of authorized but unissued Ordinary Shares (less Ordinary Shares issuable upon exercise, conversion or exchange of any outstanding securities of the Company or otherwise reserved from the Company’s authorized share capital), (c) the number or dollar amount of Ordinary Shares permitted to be sold under Form S-3 (including General Instruction I.B.6 thereof, if applicable) or (d) the number or dollar amount of Ordinary Shares for which the Company has filed a Prospectus Supplement.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to the “Registration Statement” in the Agreement shall refer to the automatic shelf registration statement on Form S-3ASR, originally filed with the Commission on August 10, 2026 (as the same may be amended from time to time, the “</w:t>
            </w:r>
            <w:r>
              <w:rPr>
                <w:rFonts w:ascii="Times New Roman;Times;Serif" w:hAnsi="Times New Roman;Times;Serif"/>
                <w:b/>
                <w:i w:val="false"/>
                <w:caps w:val="false"/>
                <w:smallCaps w:val="false"/>
                <w:sz w:val="20"/>
                <w:u w:val="single"/>
              </w:rPr>
              <w:t>New Registration Statement</w:t>
            </w:r>
            <w:r>
              <w:rPr>
                <w:rFonts w:ascii="Times New Roman;Times;Serif" w:hAnsi="Times New Roman;Times;Serif"/>
                <w:b w:val="false"/>
                <w:i w:val="false"/>
                <w:caps w:val="false"/>
                <w:smallCaps w:val="false"/>
                <w:sz w:val="20"/>
              </w:rPr>
              <w:t>”). References to the “Registration Statement” shall also include any new shelf registration statement or new automatic shelf registration statement relating to the Ordinary Shares that may be offered and sold pursuant to this Agreement (which may include a prospectus or prospectus supplement reflecting the number or amount of Placement Shares that may be offered and sold pursuant to this Agreement) that the Company subsequently files with the Commission, as the case may be.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17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definition of “Settlement Date”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of the Agreement is amended and restated as set forth below:</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Unless otherwise specified in the applicable Placement Notice, settlement for sales of Placement Shares will occur on the first Trading Day (or such earlier day as is industry practice or as is required for regular-way trading) following the date on which such sales are made (each, a “</w:t>
      </w:r>
      <w:r>
        <w:rPr>
          <w:rFonts w:ascii="Times New Roman;Times;Serif" w:hAnsi="Times New Roman;Times;Serif"/>
          <w:b/>
          <w:i w:val="false"/>
          <w:caps w:val="false"/>
          <w:smallCaps w:val="false"/>
          <w:sz w:val="20"/>
          <w:u w:val="single"/>
        </w:rPr>
        <w:t>Settlement Date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Section 6(d) </w:t>
            </w:r>
            <w:r>
              <w:rPr>
                <w:rFonts w:ascii="Times New Roman;Times;Serif" w:hAnsi="Times New Roman;Times;Serif"/>
                <w:b w:val="false"/>
                <w:i w:val="false"/>
                <w:caps w:val="false"/>
                <w:smallCaps w:val="false"/>
                <w:sz w:val="20"/>
              </w:rPr>
              <w:t>of the Agreement is amended and restated in its entirety as set forth below:</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At the original effectiveness of the Registration Statement, (ii) at the time of the most recent amendment thereto for the purposes of complying with Section 10(a)(3) of the Securities Act (whether such amendment was by post-effective amendment or incorporated report filed pursuant to Section 13 or 15(d) of the Exchange Act or in the form of a prospectus), and (iii) at the time the Company or any person acting on its behalf (within the meaning, for this clause only, of Rule 163(c) under the Securities Act) made any offer relating to the Placement Shares in reliance on the exemption of Rule 163 under the Securities Act, the Company was and is a “well-known seasoned issuer” (as defined in Rule 405).”</w:t>
      </w:r>
    </w:p>
    <w:p>
      <w:pPr>
        <w:pStyle w:val="TextBody"/>
        <w:bidi w:val="0"/>
        <w:spacing w:before="0" w:after="0"/>
        <w:ind w:left="720" w:right="0" w:hanging="36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7(y)</w:t>
            </w:r>
            <w:r>
              <w:rPr>
                <w:rFonts w:ascii="Times New Roman;Times;Serif" w:hAnsi="Times New Roman;Times;Serif"/>
                <w:b w:val="false"/>
                <w:i w:val="false"/>
                <w:caps w:val="false"/>
                <w:smallCaps w:val="false"/>
                <w:sz w:val="20"/>
              </w:rPr>
              <w:t xml:space="preserve"> of the Agreement is amended and restated in its entirety as set forth below:</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 to the date of the Agreement in the form of Issuance Notice included as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to the Agreement is hereby revised to read “August 31, 2023, as amended by Amendment No. 1 to Sales Agreement, dated August 10, 2026.”</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 to the date of the Agreement in the form of Officer’s Certificate included as </w:t>
            </w:r>
            <w:r>
              <w:rPr>
                <w:rFonts w:ascii="Times New Roman;Times;Serif" w:hAnsi="Times New Roman;Times;Serif"/>
                <w:b w:val="false"/>
                <w:i w:val="false"/>
                <w:caps w:val="false"/>
                <w:smallCaps w:val="false"/>
                <w:sz w:val="20"/>
                <w:u w:val="single"/>
              </w:rPr>
              <w:t>Exhibit 7(m)</w:t>
            </w:r>
            <w:r>
              <w:rPr>
                <w:rFonts w:ascii="Times New Roman;Times;Serif" w:hAnsi="Times New Roman;Times;Serif"/>
                <w:b w:val="false"/>
                <w:i w:val="false"/>
                <w:caps w:val="false"/>
                <w:smallCaps w:val="false"/>
                <w:sz w:val="20"/>
              </w:rPr>
              <w:t xml:space="preserve"> to the Agreement is hereby revised to read “August 31, 2023, as amended by Amendment No. 1 to Sales Agreement, dated August 10, 2026.”</w:t>
            </w:r>
          </w:p>
        </w:tc>
      </w:tr>
    </w:tbl>
    <w:p>
      <w:pPr>
        <w:pStyle w:val="TextBody"/>
        <w:bidi w:val="0"/>
        <w:spacing w:before="0" w:after="0"/>
        <w:ind w:left="720" w:right="0" w:hanging="360"/>
        <w:jc w:val="both"/>
        <w:rPr>
          <w:caps w:val="false"/>
          <w:smallCaps w:val="false"/>
        </w:rPr>
      </w:pPr>
      <w:r>
        <w:rPr>
          <w:caps w:val="false"/>
          <w:smallCaps w:val="false"/>
        </w:rPr>
        <w:t> </w:t>
      </w:r>
    </w:p>
    <w:tbl>
      <w:tblPr>
        <w:tblW w:w="9288" w:type="dxa"/>
        <w:jc w:val="left"/>
        <w:tblInd w:w="0" w:type="dxa"/>
        <w:tblLayout w:type="fixed"/>
        <w:tblCellMar>
          <w:top w:w="0" w:type="dxa"/>
          <w:left w:w="0" w:type="dxa"/>
          <w:bottom w:w="0" w:type="dxa"/>
          <w:right w:w="0" w:type="dxa"/>
        </w:tblCellMar>
      </w:tblPr>
      <w:tblGrid>
        <w:gridCol w:w="38"/>
        <w:gridCol w:w="17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set forth herein, all other provisions of the Agreement shall remain in full force and effect.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shall become effective upon the date that the New Registration Statement becomes automatically effective under the Securities Act.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of the Agreement is supplemented and amended such that this Amendment No. 1, and the Agreement, as amended hereby, constitute the entire agreement of the parties to the Agreement and supersedes all prior written or oral and all contemporaneous oral agreements, understandings and negotiations with respect to the subject matter hereof and thereof.</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amended hereby, the Agreement as now in effect is ratified and confirmed hereby in all respects. For the avoidance of doubt, this Amendment No. 1 and all of its provisions shall be deemed to be a part of the Agreement, as amended hereby.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may be executed in two or more counterparts, each of which shall be deemed an original, but all of which together shall constitute one and the same instrument. Delivery of an executed Amendment No. 1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before="0" w:after="0"/>
        <w:ind w:left="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75"/>
        <w:gridCol w:w="414"/>
        <w:gridCol w:w="764"/>
        <w:gridCol w:w="2455"/>
      </w:tblGrid>
      <w:tr>
        <w:trPr/>
        <w:tc>
          <w:tcPr>
            <w:tcW w:w="75" w:type="dxa"/>
            <w:tcBorders/>
            <w:vAlign w:val="center"/>
          </w:tcPr>
          <w:p>
            <w:pPr>
              <w:pStyle w:val="TableContents"/>
              <w:bidi w:val="0"/>
              <w:spacing w:before="0" w:after="283"/>
              <w:jc w:val="left"/>
              <w:rPr/>
            </w:pPr>
            <w:r>
              <w:rPr/>
              <w:t> </w:t>
            </w:r>
          </w:p>
        </w:tc>
        <w:tc>
          <w:tcPr>
            <w:tcW w:w="363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63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3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IMMUNOTHERAPEUTICS</w:t>
            </w:r>
          </w:p>
        </w:tc>
      </w:tr>
      <w:tr>
        <w:trPr/>
        <w:tc>
          <w:tcPr>
            <w:tcW w:w="7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32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0"/>
              <w:ind w:left="20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19" w:type="dxa"/>
            <w:gridSpan w:val="2"/>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Matthias Bodenstedt</w:t>
            </w:r>
          </w:p>
        </w:tc>
      </w:tr>
      <w:tr>
        <w:trPr/>
        <w:tc>
          <w:tcPr>
            <w:tcW w:w="7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Matthias Bodenstedt</w:t>
            </w:r>
          </w:p>
        </w:tc>
      </w:tr>
      <w:tr>
        <w:trPr/>
        <w:tc>
          <w:tcPr>
            <w:tcW w:w="7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Amendment is hereby confirmed and accepted by the Agent in New York, New York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380"/>
        <w:gridCol w:w="2210"/>
        <w:gridCol w:w="75"/>
      </w:tblGrid>
      <w:tr>
        <w:trPr/>
        <w:tc>
          <w:tcPr>
            <w:tcW w:w="259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LEERINK PARTNERS LLC</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M Fry</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Peter M Fry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Head of Alt Equities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1</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rFonts w:ascii="Times New Roman;Times;Serif" w:hAnsi="Times New Roman;Times;Serif"/>
          <w:b/>
        </w:rPr>
      </w:pPr>
      <w:bookmarkStart w:id="32" w:name="ea030102401ex4-1.htm"/>
      <w:bookmarkStart w:id="33" w:name="ksea030102401ex41"/>
      <w:bookmarkEnd w:id="32"/>
      <w:bookmarkEnd w:id="33"/>
      <w:r>
        <w:rPr>
          <w:rFonts w:ascii="Times New Roman;Times;Serif" w:hAnsi="Times New Roman;Times;Serif"/>
          <w:b/>
        </w:rPr>
        <w:t>Exhibit 4.1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IMMUNOTHERAPEUTICS,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 202[●]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
        <w:gridCol w:w="1644"/>
        <w:gridCol w:w="8167"/>
        <w:gridCol w:w="276"/>
      </w:tblGrid>
      <w:tr>
        <w:trPr/>
        <w:tc>
          <w:tcPr>
            <w:tcW w:w="9929" w:type="dxa"/>
            <w:gridSpan w:val="3"/>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1 DEFINITIONS</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pPr>
            <w:r>
              <w:rPr/>
              <w:t> </w:t>
            </w:r>
          </w:p>
        </w:tc>
        <w:tc>
          <w:tcPr>
            <w:tcW w:w="8167"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1.01</w:t>
            </w:r>
          </w:p>
        </w:tc>
        <w:tc>
          <w:tcPr>
            <w:tcW w:w="8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Definitions of Terms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pPr>
            <w:r>
              <w:rPr/>
              <w:t> </w:t>
            </w:r>
          </w:p>
        </w:tc>
        <w:tc>
          <w:tcPr>
            <w:tcW w:w="8167"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3"/>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2 ISSUE, DESCRIPTION, TERMS, EXECUTION, REGISTRATION AND EXCHANGE OF SECURITIES</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pPr>
            <w:r>
              <w:rPr/>
              <w:t> </w:t>
            </w:r>
          </w:p>
        </w:tc>
        <w:tc>
          <w:tcPr>
            <w:tcW w:w="8167"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2.01</w:t>
            </w:r>
          </w:p>
        </w:tc>
        <w:tc>
          <w:tcPr>
            <w:tcW w:w="8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Designation and Terms of Securities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2.02</w:t>
            </w:r>
          </w:p>
        </w:tc>
        <w:tc>
          <w:tcPr>
            <w:tcW w:w="8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Form of Securities and Trustee’s Certificate</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2.03</w:t>
            </w:r>
          </w:p>
        </w:tc>
        <w:tc>
          <w:tcPr>
            <w:tcW w:w="8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Denominations: Provisions for Payment</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2.04</w:t>
            </w:r>
          </w:p>
        </w:tc>
        <w:tc>
          <w:tcPr>
            <w:tcW w:w="8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Execution and Authentications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2.05</w:t>
            </w:r>
          </w:p>
        </w:tc>
        <w:tc>
          <w:tcPr>
            <w:tcW w:w="8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of Transfer and Exchange</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2.06</w:t>
            </w:r>
          </w:p>
        </w:tc>
        <w:tc>
          <w:tcPr>
            <w:tcW w:w="8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Temporary Securities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2.07</w:t>
            </w:r>
          </w:p>
        </w:tc>
        <w:tc>
          <w:tcPr>
            <w:tcW w:w="8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Mutilated, Destroyed, Lost or Stolen Securities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2.08</w:t>
            </w:r>
          </w:p>
        </w:tc>
        <w:tc>
          <w:tcPr>
            <w:tcW w:w="8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Cancellation</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2.09</w:t>
            </w:r>
          </w:p>
        </w:tc>
        <w:tc>
          <w:tcPr>
            <w:tcW w:w="8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Benefits of Indenture</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2.10</w:t>
            </w:r>
          </w:p>
        </w:tc>
        <w:tc>
          <w:tcPr>
            <w:tcW w:w="8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Authenticating Agent</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2.11</w:t>
            </w:r>
          </w:p>
        </w:tc>
        <w:tc>
          <w:tcPr>
            <w:tcW w:w="8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Global Securities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pPr>
            <w:r>
              <w:rPr/>
              <w:t> </w:t>
            </w:r>
          </w:p>
        </w:tc>
        <w:tc>
          <w:tcPr>
            <w:tcW w:w="8167"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3"/>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3 REDEMPTION OF SECURITIES AND SINKING FUND PROVISIONS</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15</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pPr>
            <w:r>
              <w:rPr/>
              <w:t> </w:t>
            </w:r>
          </w:p>
        </w:tc>
        <w:tc>
          <w:tcPr>
            <w:tcW w:w="8167"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3.01</w:t>
            </w:r>
          </w:p>
        </w:tc>
        <w:tc>
          <w:tcPr>
            <w:tcW w:w="8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Redemption</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3.02</w:t>
            </w:r>
          </w:p>
        </w:tc>
        <w:tc>
          <w:tcPr>
            <w:tcW w:w="8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 of Redemption</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3.03</w:t>
            </w:r>
          </w:p>
        </w:tc>
        <w:tc>
          <w:tcPr>
            <w:tcW w:w="8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Upon Redemption</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3.04</w:t>
            </w:r>
          </w:p>
        </w:tc>
        <w:tc>
          <w:tcPr>
            <w:tcW w:w="8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Sinking Fund</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3.05</w:t>
            </w:r>
          </w:p>
        </w:tc>
        <w:tc>
          <w:tcPr>
            <w:tcW w:w="8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Satisfaction of Sinking Fund Payments with Securities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3.06</w:t>
            </w:r>
          </w:p>
        </w:tc>
        <w:tc>
          <w:tcPr>
            <w:tcW w:w="8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Redemption of Securities for Sinking Fund</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pPr>
            <w:r>
              <w:rPr/>
              <w:t> </w:t>
            </w:r>
          </w:p>
        </w:tc>
        <w:tc>
          <w:tcPr>
            <w:tcW w:w="8167"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3"/>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4 COVENANTS</w:t>
            </w:r>
          </w:p>
        </w:tc>
        <w:tc>
          <w:tcPr>
            <w:tcW w:w="276"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17</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pPr>
            <w:r>
              <w:rPr/>
              <w:t> </w:t>
            </w:r>
          </w:p>
        </w:tc>
        <w:tc>
          <w:tcPr>
            <w:tcW w:w="8167"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4.01</w:t>
            </w:r>
          </w:p>
        </w:tc>
        <w:tc>
          <w:tcPr>
            <w:tcW w:w="8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Principal, Premium and Interest</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4.02</w:t>
            </w:r>
          </w:p>
        </w:tc>
        <w:tc>
          <w:tcPr>
            <w:tcW w:w="8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Maintenance of Office or Agency</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4.03</w:t>
            </w:r>
          </w:p>
        </w:tc>
        <w:tc>
          <w:tcPr>
            <w:tcW w:w="8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Paying Agents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4.04</w:t>
            </w:r>
          </w:p>
        </w:tc>
        <w:tc>
          <w:tcPr>
            <w:tcW w:w="8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Appointment to Fill Vacancy in Office of Trustee</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4.05</w:t>
            </w:r>
          </w:p>
        </w:tc>
        <w:tc>
          <w:tcPr>
            <w:tcW w:w="8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with Consolidation Provisions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pPr>
            <w:r>
              <w:rPr/>
              <w:t> </w:t>
            </w:r>
          </w:p>
        </w:tc>
        <w:tc>
          <w:tcPr>
            <w:tcW w:w="8167"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3"/>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5 SECURITYHOLDERS’ LISTS AND REPORTS BY THE COMPANY AND THE TRUSTEE</w:t>
            </w:r>
          </w:p>
        </w:tc>
        <w:tc>
          <w:tcPr>
            <w:tcW w:w="276"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19</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pPr>
            <w:r>
              <w:rPr/>
              <w:t> </w:t>
            </w:r>
          </w:p>
        </w:tc>
        <w:tc>
          <w:tcPr>
            <w:tcW w:w="8167"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5.01</w:t>
            </w:r>
          </w:p>
        </w:tc>
        <w:tc>
          <w:tcPr>
            <w:tcW w:w="8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Company to Furnish Trustee Names and Addresses of Securityholders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5.02</w:t>
            </w:r>
          </w:p>
        </w:tc>
        <w:tc>
          <w:tcPr>
            <w:tcW w:w="8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Preservation of Information; Communications With Securityholders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18"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5.03</w:t>
            </w:r>
          </w:p>
        </w:tc>
        <w:tc>
          <w:tcPr>
            <w:tcW w:w="8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Reports by the Company</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18"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5.04</w:t>
            </w:r>
          </w:p>
        </w:tc>
        <w:tc>
          <w:tcPr>
            <w:tcW w:w="8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Reports by the Trustee</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100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Table of Contents does not constitute part of the Indenture and shall not have any bearing on the interpretation of any of its terms or provisions.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
        <w:gridCol w:w="1767"/>
        <w:gridCol w:w="8059"/>
        <w:gridCol w:w="276"/>
      </w:tblGrid>
      <w:tr>
        <w:trPr/>
        <w:tc>
          <w:tcPr>
            <w:tcW w:w="9929" w:type="dxa"/>
            <w:gridSpan w:val="3"/>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6 REMEDIES OF THE TRUSTEE AND SECURITYHOLDERS ON EVENT OF DEFAULT</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pPr>
            <w:r>
              <w:rPr/>
              <w:t> </w:t>
            </w:r>
          </w:p>
        </w:tc>
        <w:tc>
          <w:tcPr>
            <w:tcW w:w="8059"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6.01</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Events of Default</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6.02</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Collection of Indebtedness and Suits for Enforcement by Trustee</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6.03</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 of Moneys Collected</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6.04</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Limitation on Suits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6.05</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Rights and Remedies Cumulative; Delay or Omission Not Waiver</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6.06</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Control by Securityholders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6.07</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Undertaking to Pay Costs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pPr>
            <w:r>
              <w:rPr/>
              <w:t> </w:t>
            </w:r>
          </w:p>
        </w:tc>
        <w:tc>
          <w:tcPr>
            <w:tcW w:w="8059"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3"/>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7 CONCERNING THE TRUSTEE</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25</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pPr>
            <w:r>
              <w:rPr/>
              <w:t> </w:t>
            </w:r>
          </w:p>
        </w:tc>
        <w:tc>
          <w:tcPr>
            <w:tcW w:w="8059"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7.01</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Certain Duties and Responsibilities of Trustee</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7.02</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Certain Rights of Trustee</w:t>
            </w:r>
          </w:p>
        </w:tc>
        <w:tc>
          <w:tcPr>
            <w:tcW w:w="276" w:type="dxa"/>
            <w:tcBorders/>
            <w:shd w:fill="FFFFFF" w:val="clear"/>
            <w:vAlign w:val="center"/>
          </w:tcPr>
          <w:p>
            <w:pPr>
              <w:pStyle w:val="TableContents"/>
              <w:bidi w:val="0"/>
              <w:spacing w:before="0" w:after="283"/>
              <w:jc w:val="center"/>
              <w:rPr/>
            </w:pPr>
            <w:r>
              <w:rPr/>
              <w:t>26</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7.03</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 Not Responsible for Recitals or Issuance of Securities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7.04</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May Hold Securities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7.05</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Moneys Held in Trust</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7.06</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and Reimbursement</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7.07</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Reliance on Officer’s Certificate or Opinion of Counsel</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7.08</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Disqualification; Conflicting Interests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7.09</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Trustee Required; Eligibility</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29</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7.10</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Resignation and Removal; Appointment of Successor</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29</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7.11</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Acceptance of Appointment By Successor</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7.12</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 Conversion, Consolidation or Succession to Business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7.13</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Preferential Collection of Claims Against the Company</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7.14</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 of Default</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pPr>
            <w:r>
              <w:rPr/>
              <w:t> </w:t>
            </w:r>
          </w:p>
        </w:tc>
        <w:tc>
          <w:tcPr>
            <w:tcW w:w="8059"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3"/>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8 CONCERNING THE SECURITYHOLDERS</w:t>
            </w:r>
          </w:p>
        </w:tc>
        <w:tc>
          <w:tcPr>
            <w:tcW w:w="276"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32</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pPr>
            <w:r>
              <w:rPr/>
              <w:t> </w:t>
            </w:r>
          </w:p>
        </w:tc>
        <w:tc>
          <w:tcPr>
            <w:tcW w:w="8059"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8.01</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Evidence of Action by Securityholders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8.02</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Proof of Execution by Securityholders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8.03</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Who May Be Deemed Owners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8.04</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Certain Securities Owned by Company Disregarded</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8.05</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Actions Binding on Future Securityholders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pPr>
            <w:r>
              <w:rPr/>
              <w:t> </w:t>
            </w:r>
          </w:p>
        </w:tc>
        <w:tc>
          <w:tcPr>
            <w:tcW w:w="8059"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3"/>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9 SUPPLEMENTAL INDENTURES</w:t>
            </w:r>
          </w:p>
        </w:tc>
        <w:tc>
          <w:tcPr>
            <w:tcW w:w="276"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33</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pPr>
            <w:r>
              <w:rPr/>
              <w:t> </w:t>
            </w:r>
          </w:p>
        </w:tc>
        <w:tc>
          <w:tcPr>
            <w:tcW w:w="8059"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9.01</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Indentures Without the Consent of Securityholders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9.02</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Indentures With Consent of Securityholders</w:t>
            </w:r>
          </w:p>
        </w:tc>
        <w:tc>
          <w:tcPr>
            <w:tcW w:w="276" w:type="dxa"/>
            <w:tcBorders/>
            <w:shd w:fill="CCEEFF" w:val="clear"/>
            <w:vAlign w:val="center"/>
          </w:tcPr>
          <w:p>
            <w:pPr>
              <w:pStyle w:val="TableContents"/>
              <w:bidi w:val="0"/>
              <w:spacing w:before="0" w:after="283"/>
              <w:jc w:val="center"/>
              <w:rPr/>
            </w:pPr>
            <w:r>
              <w:rPr/>
              <w:t>3</w:t>
            </w:r>
            <w:r>
              <w:rPr>
                <w:rFonts w:ascii="Times New Roman;Times;Serif" w:hAnsi="Times New Roman;Times;Serif"/>
              </w:rPr>
              <w:t>4</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9.03</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Supplemental Indentures</w:t>
            </w:r>
          </w:p>
        </w:tc>
        <w:tc>
          <w:tcPr>
            <w:tcW w:w="276" w:type="dxa"/>
            <w:tcBorders/>
            <w:shd w:fill="FFFFFF" w:val="clear"/>
            <w:vAlign w:val="center"/>
          </w:tcPr>
          <w:p>
            <w:pPr>
              <w:pStyle w:val="TableContents"/>
              <w:bidi w:val="0"/>
              <w:spacing w:before="0" w:after="283"/>
              <w:jc w:val="center"/>
              <w:rPr/>
            </w:pPr>
            <w:r>
              <w:rPr/>
              <w:t>3</w:t>
            </w:r>
            <w:r>
              <w:rPr>
                <w:rFonts w:ascii="Times New Roman;Times;Serif" w:hAnsi="Times New Roman;Times;Serif"/>
              </w:rPr>
              <w:t>4</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9.04</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Affected by Supplemental Indentures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34</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9.05</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Execution of Supplemental Indentures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pPr>
            <w:r>
              <w:rPr/>
              <w:t> </w:t>
            </w:r>
          </w:p>
        </w:tc>
        <w:tc>
          <w:tcPr>
            <w:tcW w:w="8059"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3"/>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10 SUCCESSOR ENTITY</w:t>
            </w:r>
          </w:p>
        </w:tc>
        <w:tc>
          <w:tcPr>
            <w:tcW w:w="276"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35</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pPr>
            <w:r>
              <w:rPr/>
              <w:t> </w:t>
            </w:r>
          </w:p>
        </w:tc>
        <w:tc>
          <w:tcPr>
            <w:tcW w:w="8059"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103" w:type="dxa"/>
            <w:tcBorders/>
            <w:shd w:fill="FFFFFF" w:val="clear"/>
            <w:vAlign w:val="center"/>
          </w:tcPr>
          <w:p>
            <w:pPr>
              <w:pStyle w:val="TableContents"/>
              <w:bidi w:val="0"/>
              <w:spacing w:before="0" w:after="283"/>
              <w:jc w:val="left"/>
              <w:rPr/>
            </w:pPr>
            <w:r>
              <w:rPr/>
              <w:t> </w:t>
            </w:r>
          </w:p>
        </w:tc>
        <w:tc>
          <w:tcPr>
            <w:tcW w:w="17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10.01</w:t>
            </w:r>
          </w:p>
        </w:tc>
        <w:tc>
          <w:tcPr>
            <w:tcW w:w="8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Company May Consolidate, Etc.</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w:t>
            </w:r>
          </w:p>
        </w:tc>
      </w:tr>
      <w:tr>
        <w:trPr/>
        <w:tc>
          <w:tcPr>
            <w:tcW w:w="103" w:type="dxa"/>
            <w:tcBorders/>
            <w:shd w:fill="CCEEFF" w:val="clear"/>
            <w:vAlign w:val="center"/>
          </w:tcPr>
          <w:p>
            <w:pPr>
              <w:pStyle w:val="TableContents"/>
              <w:bidi w:val="0"/>
              <w:spacing w:before="0" w:after="283"/>
              <w:jc w:val="left"/>
              <w:rPr/>
            </w:pPr>
            <w:r>
              <w:rPr/>
              <w:t> </w:t>
            </w:r>
          </w:p>
        </w:tc>
        <w:tc>
          <w:tcPr>
            <w:tcW w:w="17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10.02</w:t>
            </w:r>
          </w:p>
        </w:tc>
        <w:tc>
          <w:tcPr>
            <w:tcW w:w="8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Successor Entity Substituted</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
        <w:gridCol w:w="2117"/>
        <w:gridCol w:w="7690"/>
        <w:gridCol w:w="276"/>
      </w:tblGrid>
      <w:tr>
        <w:trPr/>
        <w:tc>
          <w:tcPr>
            <w:tcW w:w="9929" w:type="dxa"/>
            <w:gridSpan w:val="3"/>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11 SATISFACTION AND DISCHARGE</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36</w:t>
            </w:r>
          </w:p>
        </w:tc>
      </w:tr>
      <w:tr>
        <w:trPr/>
        <w:tc>
          <w:tcPr>
            <w:tcW w:w="122" w:type="dxa"/>
            <w:tcBorders/>
            <w:shd w:fill="FFFFFF" w:val="clear"/>
            <w:vAlign w:val="center"/>
          </w:tcPr>
          <w:p>
            <w:pPr>
              <w:pStyle w:val="TableContents"/>
              <w:bidi w:val="0"/>
              <w:spacing w:before="0" w:after="283"/>
              <w:jc w:val="left"/>
              <w:rPr/>
            </w:pPr>
            <w:r>
              <w:rPr/>
              <w:t> </w:t>
            </w:r>
          </w:p>
        </w:tc>
        <w:tc>
          <w:tcPr>
            <w:tcW w:w="2117" w:type="dxa"/>
            <w:tcBorders/>
            <w:shd w:fill="FFFFFF" w:val="clear"/>
            <w:vAlign w:val="center"/>
          </w:tcPr>
          <w:p>
            <w:pPr>
              <w:pStyle w:val="TableContents"/>
              <w:bidi w:val="0"/>
              <w:spacing w:before="0" w:after="283"/>
              <w:jc w:val="left"/>
              <w:rPr/>
            </w:pPr>
            <w:r>
              <w:rPr/>
              <w:t> </w:t>
            </w:r>
          </w:p>
        </w:tc>
        <w:tc>
          <w:tcPr>
            <w:tcW w:w="769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22" w:type="dxa"/>
            <w:tcBorders/>
            <w:shd w:fill="CCEEFF" w:val="clear"/>
            <w:vAlign w:val="center"/>
          </w:tcPr>
          <w:p>
            <w:pPr>
              <w:pStyle w:val="TableContents"/>
              <w:bidi w:val="0"/>
              <w:spacing w:before="0" w:after="283"/>
              <w:jc w:val="left"/>
              <w:rPr/>
            </w:pPr>
            <w:r>
              <w:rPr/>
              <w:t> </w:t>
            </w:r>
          </w:p>
        </w:tc>
        <w:tc>
          <w:tcPr>
            <w:tcW w:w="2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11.01</w:t>
            </w:r>
          </w:p>
        </w:tc>
        <w:tc>
          <w:tcPr>
            <w:tcW w:w="7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Satisfaction and Discharge of Indenture</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r>
      <w:tr>
        <w:trPr/>
        <w:tc>
          <w:tcPr>
            <w:tcW w:w="122" w:type="dxa"/>
            <w:tcBorders/>
            <w:shd w:fill="FFFFFF" w:val="clear"/>
            <w:vAlign w:val="center"/>
          </w:tcPr>
          <w:p>
            <w:pPr>
              <w:pStyle w:val="TableContents"/>
              <w:bidi w:val="0"/>
              <w:spacing w:before="0" w:after="283"/>
              <w:jc w:val="left"/>
              <w:rPr/>
            </w:pPr>
            <w:r>
              <w:rPr/>
              <w:t> </w:t>
            </w:r>
          </w:p>
        </w:tc>
        <w:tc>
          <w:tcPr>
            <w:tcW w:w="2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11.02</w:t>
            </w:r>
          </w:p>
        </w:tc>
        <w:tc>
          <w:tcPr>
            <w:tcW w:w="7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Discharge of Obligations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r>
      <w:tr>
        <w:trPr/>
        <w:tc>
          <w:tcPr>
            <w:tcW w:w="122" w:type="dxa"/>
            <w:tcBorders/>
            <w:shd w:fill="CCEEFF" w:val="clear"/>
            <w:vAlign w:val="center"/>
          </w:tcPr>
          <w:p>
            <w:pPr>
              <w:pStyle w:val="TableContents"/>
              <w:bidi w:val="0"/>
              <w:spacing w:before="0" w:after="283"/>
              <w:jc w:val="left"/>
              <w:rPr/>
            </w:pPr>
            <w:r>
              <w:rPr/>
              <w:t> </w:t>
            </w:r>
          </w:p>
        </w:tc>
        <w:tc>
          <w:tcPr>
            <w:tcW w:w="2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11.03</w:t>
            </w:r>
          </w:p>
        </w:tc>
        <w:tc>
          <w:tcPr>
            <w:tcW w:w="7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Deposited Moneys to be Held in Trust</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r>
      <w:tr>
        <w:trPr/>
        <w:tc>
          <w:tcPr>
            <w:tcW w:w="122" w:type="dxa"/>
            <w:tcBorders/>
            <w:shd w:fill="FFFFFF" w:val="clear"/>
            <w:vAlign w:val="center"/>
          </w:tcPr>
          <w:p>
            <w:pPr>
              <w:pStyle w:val="TableContents"/>
              <w:bidi w:val="0"/>
              <w:spacing w:before="0" w:after="283"/>
              <w:jc w:val="left"/>
              <w:rPr/>
            </w:pPr>
            <w:r>
              <w:rPr/>
              <w:t> </w:t>
            </w:r>
          </w:p>
        </w:tc>
        <w:tc>
          <w:tcPr>
            <w:tcW w:w="2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11.04</w:t>
            </w:r>
          </w:p>
        </w:tc>
        <w:tc>
          <w:tcPr>
            <w:tcW w:w="7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Moneys Held by Paying Agents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r>
      <w:tr>
        <w:trPr/>
        <w:tc>
          <w:tcPr>
            <w:tcW w:w="122" w:type="dxa"/>
            <w:tcBorders/>
            <w:shd w:fill="CCEEFF" w:val="clear"/>
            <w:vAlign w:val="center"/>
          </w:tcPr>
          <w:p>
            <w:pPr>
              <w:pStyle w:val="TableContents"/>
              <w:bidi w:val="0"/>
              <w:spacing w:before="0" w:after="283"/>
              <w:jc w:val="left"/>
              <w:rPr/>
            </w:pPr>
            <w:r>
              <w:rPr/>
              <w:t> </w:t>
            </w:r>
          </w:p>
        </w:tc>
        <w:tc>
          <w:tcPr>
            <w:tcW w:w="2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11.05</w:t>
            </w:r>
          </w:p>
        </w:tc>
        <w:tc>
          <w:tcPr>
            <w:tcW w:w="7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to Company</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r>
      <w:tr>
        <w:trPr/>
        <w:tc>
          <w:tcPr>
            <w:tcW w:w="122" w:type="dxa"/>
            <w:tcBorders/>
            <w:shd w:fill="FFFFFF" w:val="clear"/>
            <w:vAlign w:val="center"/>
          </w:tcPr>
          <w:p>
            <w:pPr>
              <w:pStyle w:val="TableContents"/>
              <w:bidi w:val="0"/>
              <w:spacing w:before="0" w:after="283"/>
              <w:jc w:val="left"/>
              <w:rPr/>
            </w:pPr>
            <w:r>
              <w:rPr/>
              <w:t> </w:t>
            </w:r>
          </w:p>
        </w:tc>
        <w:tc>
          <w:tcPr>
            <w:tcW w:w="2117" w:type="dxa"/>
            <w:tcBorders/>
            <w:shd w:fill="FFFFFF" w:val="clear"/>
            <w:vAlign w:val="center"/>
          </w:tcPr>
          <w:p>
            <w:pPr>
              <w:pStyle w:val="TableContents"/>
              <w:bidi w:val="0"/>
              <w:spacing w:before="0" w:after="283"/>
              <w:jc w:val="left"/>
              <w:rPr/>
            </w:pPr>
            <w:r>
              <w:rPr/>
              <w:t> </w:t>
            </w:r>
          </w:p>
        </w:tc>
        <w:tc>
          <w:tcPr>
            <w:tcW w:w="769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3"/>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12 IMMUNITY OF INCORPORATORS, STOCKHOLDERS, OFFICERS AND DIRECTORS</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37</w:t>
            </w:r>
          </w:p>
        </w:tc>
      </w:tr>
      <w:tr>
        <w:trPr/>
        <w:tc>
          <w:tcPr>
            <w:tcW w:w="122" w:type="dxa"/>
            <w:tcBorders/>
            <w:shd w:fill="FFFFFF" w:val="clear"/>
            <w:vAlign w:val="center"/>
          </w:tcPr>
          <w:p>
            <w:pPr>
              <w:pStyle w:val="TableContents"/>
              <w:bidi w:val="0"/>
              <w:spacing w:before="0" w:after="283"/>
              <w:jc w:val="left"/>
              <w:rPr/>
            </w:pPr>
            <w:r>
              <w:rPr/>
              <w:t> </w:t>
            </w:r>
          </w:p>
        </w:tc>
        <w:tc>
          <w:tcPr>
            <w:tcW w:w="2117" w:type="dxa"/>
            <w:tcBorders/>
            <w:shd w:fill="FFFFFF" w:val="clear"/>
            <w:vAlign w:val="center"/>
          </w:tcPr>
          <w:p>
            <w:pPr>
              <w:pStyle w:val="TableContents"/>
              <w:bidi w:val="0"/>
              <w:spacing w:before="0" w:after="283"/>
              <w:jc w:val="left"/>
              <w:rPr/>
            </w:pPr>
            <w:r>
              <w:rPr/>
              <w:t> </w:t>
            </w:r>
          </w:p>
        </w:tc>
        <w:tc>
          <w:tcPr>
            <w:tcW w:w="769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22" w:type="dxa"/>
            <w:tcBorders/>
            <w:shd w:fill="CCEEFF" w:val="clear"/>
            <w:vAlign w:val="center"/>
          </w:tcPr>
          <w:p>
            <w:pPr>
              <w:pStyle w:val="TableContents"/>
              <w:bidi w:val="0"/>
              <w:spacing w:before="0" w:after="283"/>
              <w:jc w:val="left"/>
              <w:rPr/>
            </w:pPr>
            <w:r>
              <w:rPr/>
              <w:t> </w:t>
            </w:r>
          </w:p>
        </w:tc>
        <w:tc>
          <w:tcPr>
            <w:tcW w:w="2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12.01</w:t>
            </w:r>
          </w:p>
        </w:tc>
        <w:tc>
          <w:tcPr>
            <w:tcW w:w="7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Recourse</w:t>
            </w:r>
          </w:p>
        </w:tc>
        <w:tc>
          <w:tcPr>
            <w:tcW w:w="276" w:type="dxa"/>
            <w:tcBorders/>
            <w:shd w:fill="CCEEFF" w:val="clear"/>
            <w:vAlign w:val="center"/>
          </w:tcPr>
          <w:p>
            <w:pPr>
              <w:pStyle w:val="TableContents"/>
              <w:bidi w:val="0"/>
              <w:spacing w:before="0" w:after="283"/>
              <w:jc w:val="center"/>
              <w:rPr/>
            </w:pPr>
            <w:r>
              <w:rPr/>
              <w:t>37</w:t>
            </w:r>
          </w:p>
        </w:tc>
      </w:tr>
      <w:tr>
        <w:trPr/>
        <w:tc>
          <w:tcPr>
            <w:tcW w:w="122" w:type="dxa"/>
            <w:tcBorders/>
            <w:shd w:fill="FFFFFF" w:val="clear"/>
            <w:vAlign w:val="center"/>
          </w:tcPr>
          <w:p>
            <w:pPr>
              <w:pStyle w:val="TableContents"/>
              <w:bidi w:val="0"/>
              <w:spacing w:before="0" w:after="283"/>
              <w:jc w:val="left"/>
              <w:rPr/>
            </w:pPr>
            <w:r>
              <w:rPr/>
              <w:t> </w:t>
            </w:r>
          </w:p>
        </w:tc>
        <w:tc>
          <w:tcPr>
            <w:tcW w:w="2117" w:type="dxa"/>
            <w:tcBorders/>
            <w:shd w:fill="FFFFFF" w:val="clear"/>
            <w:vAlign w:val="center"/>
          </w:tcPr>
          <w:p>
            <w:pPr>
              <w:pStyle w:val="TableContents"/>
              <w:bidi w:val="0"/>
              <w:spacing w:before="0" w:after="283"/>
              <w:jc w:val="left"/>
              <w:rPr/>
            </w:pPr>
            <w:r>
              <w:rPr/>
              <w:t> </w:t>
            </w:r>
          </w:p>
        </w:tc>
        <w:tc>
          <w:tcPr>
            <w:tcW w:w="769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3"/>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13 MISCELLANEOUS PROVISIONS</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37</w:t>
            </w:r>
          </w:p>
        </w:tc>
      </w:tr>
      <w:tr>
        <w:trPr/>
        <w:tc>
          <w:tcPr>
            <w:tcW w:w="122" w:type="dxa"/>
            <w:tcBorders/>
            <w:shd w:fill="FFFFFF" w:val="clear"/>
            <w:vAlign w:val="center"/>
          </w:tcPr>
          <w:p>
            <w:pPr>
              <w:pStyle w:val="TableContents"/>
              <w:bidi w:val="0"/>
              <w:spacing w:before="0" w:after="283"/>
              <w:jc w:val="left"/>
              <w:rPr/>
            </w:pPr>
            <w:r>
              <w:rPr/>
              <w:t> </w:t>
            </w:r>
          </w:p>
        </w:tc>
        <w:tc>
          <w:tcPr>
            <w:tcW w:w="2117" w:type="dxa"/>
            <w:tcBorders/>
            <w:shd w:fill="FFFFFF" w:val="clear"/>
            <w:vAlign w:val="center"/>
          </w:tcPr>
          <w:p>
            <w:pPr>
              <w:pStyle w:val="TableContents"/>
              <w:bidi w:val="0"/>
              <w:spacing w:before="0" w:after="283"/>
              <w:jc w:val="left"/>
              <w:rPr/>
            </w:pPr>
            <w:r>
              <w:rPr/>
              <w:t> </w:t>
            </w:r>
          </w:p>
        </w:tc>
        <w:tc>
          <w:tcPr>
            <w:tcW w:w="769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22" w:type="dxa"/>
            <w:tcBorders/>
            <w:shd w:fill="CCEEFF" w:val="clear"/>
            <w:vAlign w:val="center"/>
          </w:tcPr>
          <w:p>
            <w:pPr>
              <w:pStyle w:val="TableContents"/>
              <w:bidi w:val="0"/>
              <w:spacing w:before="0" w:after="283"/>
              <w:jc w:val="left"/>
              <w:rPr/>
            </w:pPr>
            <w:r>
              <w:rPr/>
              <w:t> </w:t>
            </w:r>
          </w:p>
        </w:tc>
        <w:tc>
          <w:tcPr>
            <w:tcW w:w="2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13.01</w:t>
            </w:r>
          </w:p>
        </w:tc>
        <w:tc>
          <w:tcPr>
            <w:tcW w:w="7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on Successors and Assigns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r>
      <w:tr>
        <w:trPr/>
        <w:tc>
          <w:tcPr>
            <w:tcW w:w="122" w:type="dxa"/>
            <w:tcBorders/>
            <w:shd w:fill="FFFFFF" w:val="clear"/>
            <w:vAlign w:val="center"/>
          </w:tcPr>
          <w:p>
            <w:pPr>
              <w:pStyle w:val="TableContents"/>
              <w:bidi w:val="0"/>
              <w:spacing w:before="0" w:after="283"/>
              <w:jc w:val="left"/>
              <w:rPr/>
            </w:pPr>
            <w:r>
              <w:rPr/>
              <w:t> </w:t>
            </w:r>
          </w:p>
        </w:tc>
        <w:tc>
          <w:tcPr>
            <w:tcW w:w="2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13.02</w:t>
            </w:r>
          </w:p>
        </w:tc>
        <w:tc>
          <w:tcPr>
            <w:tcW w:w="7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Actions by Successor</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r>
      <w:tr>
        <w:trPr/>
        <w:tc>
          <w:tcPr>
            <w:tcW w:w="122" w:type="dxa"/>
            <w:tcBorders/>
            <w:shd w:fill="CCEEFF" w:val="clear"/>
            <w:vAlign w:val="center"/>
          </w:tcPr>
          <w:p>
            <w:pPr>
              <w:pStyle w:val="TableContents"/>
              <w:bidi w:val="0"/>
              <w:spacing w:before="0" w:after="283"/>
              <w:jc w:val="left"/>
              <w:rPr/>
            </w:pPr>
            <w:r>
              <w:rPr/>
              <w:t> </w:t>
            </w:r>
          </w:p>
        </w:tc>
        <w:tc>
          <w:tcPr>
            <w:tcW w:w="2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13.03</w:t>
            </w:r>
          </w:p>
        </w:tc>
        <w:tc>
          <w:tcPr>
            <w:tcW w:w="7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Surrender of Company Powers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r>
      <w:tr>
        <w:trPr/>
        <w:tc>
          <w:tcPr>
            <w:tcW w:w="122" w:type="dxa"/>
            <w:tcBorders/>
            <w:shd w:fill="FFFFFF" w:val="clear"/>
            <w:vAlign w:val="center"/>
          </w:tcPr>
          <w:p>
            <w:pPr>
              <w:pStyle w:val="TableContents"/>
              <w:bidi w:val="0"/>
              <w:spacing w:before="0" w:after="283"/>
              <w:jc w:val="left"/>
              <w:rPr/>
            </w:pPr>
            <w:r>
              <w:rPr/>
              <w:t> </w:t>
            </w:r>
          </w:p>
        </w:tc>
        <w:tc>
          <w:tcPr>
            <w:tcW w:w="2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13.04</w:t>
            </w:r>
          </w:p>
        </w:tc>
        <w:tc>
          <w:tcPr>
            <w:tcW w:w="7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122" w:type="dxa"/>
            <w:tcBorders/>
            <w:shd w:fill="CCEEFF" w:val="clear"/>
            <w:vAlign w:val="center"/>
          </w:tcPr>
          <w:p>
            <w:pPr>
              <w:pStyle w:val="TableContents"/>
              <w:bidi w:val="0"/>
              <w:spacing w:before="0" w:after="283"/>
              <w:jc w:val="left"/>
              <w:rPr/>
            </w:pPr>
            <w:r>
              <w:rPr/>
              <w:t> </w:t>
            </w:r>
          </w:p>
        </w:tc>
        <w:tc>
          <w:tcPr>
            <w:tcW w:w="2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13.05</w:t>
            </w:r>
          </w:p>
        </w:tc>
        <w:tc>
          <w:tcPr>
            <w:tcW w:w="7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Governing Law; Jury Trial Waiver</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122" w:type="dxa"/>
            <w:tcBorders/>
            <w:shd w:fill="FFFFFF" w:val="clear"/>
            <w:vAlign w:val="center"/>
          </w:tcPr>
          <w:p>
            <w:pPr>
              <w:pStyle w:val="TableContents"/>
              <w:bidi w:val="0"/>
              <w:spacing w:before="0" w:after="283"/>
              <w:jc w:val="left"/>
              <w:rPr/>
            </w:pPr>
            <w:r>
              <w:rPr/>
              <w:t> </w:t>
            </w:r>
          </w:p>
        </w:tc>
        <w:tc>
          <w:tcPr>
            <w:tcW w:w="2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13.06</w:t>
            </w:r>
          </w:p>
        </w:tc>
        <w:tc>
          <w:tcPr>
            <w:tcW w:w="7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Treatment of Securities as Debt</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122" w:type="dxa"/>
            <w:tcBorders/>
            <w:shd w:fill="CCEEFF" w:val="clear"/>
            <w:vAlign w:val="center"/>
          </w:tcPr>
          <w:p>
            <w:pPr>
              <w:pStyle w:val="TableContents"/>
              <w:bidi w:val="0"/>
              <w:spacing w:before="0" w:after="283"/>
              <w:jc w:val="left"/>
              <w:rPr/>
            </w:pPr>
            <w:r>
              <w:rPr/>
              <w:t> </w:t>
            </w:r>
          </w:p>
        </w:tc>
        <w:tc>
          <w:tcPr>
            <w:tcW w:w="2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13.07</w:t>
            </w:r>
          </w:p>
        </w:tc>
        <w:tc>
          <w:tcPr>
            <w:tcW w:w="7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Certificates and Opinions as to Conditions Precedent</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122" w:type="dxa"/>
            <w:tcBorders/>
            <w:shd w:fill="FFFFFF" w:val="clear"/>
            <w:vAlign w:val="center"/>
          </w:tcPr>
          <w:p>
            <w:pPr>
              <w:pStyle w:val="TableContents"/>
              <w:bidi w:val="0"/>
              <w:spacing w:before="0" w:after="283"/>
              <w:jc w:val="left"/>
              <w:rPr/>
            </w:pPr>
            <w:r>
              <w:rPr/>
              <w:t> </w:t>
            </w:r>
          </w:p>
        </w:tc>
        <w:tc>
          <w:tcPr>
            <w:tcW w:w="2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13.08</w:t>
            </w:r>
          </w:p>
        </w:tc>
        <w:tc>
          <w:tcPr>
            <w:tcW w:w="7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on Business Days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122" w:type="dxa"/>
            <w:tcBorders/>
            <w:shd w:fill="CCEEFF" w:val="clear"/>
            <w:vAlign w:val="center"/>
          </w:tcPr>
          <w:p>
            <w:pPr>
              <w:pStyle w:val="TableContents"/>
              <w:bidi w:val="0"/>
              <w:spacing w:before="0" w:after="283"/>
              <w:jc w:val="left"/>
              <w:rPr/>
            </w:pPr>
            <w:r>
              <w:rPr/>
              <w:t> </w:t>
            </w:r>
          </w:p>
        </w:tc>
        <w:tc>
          <w:tcPr>
            <w:tcW w:w="2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13.09</w:t>
            </w:r>
          </w:p>
        </w:tc>
        <w:tc>
          <w:tcPr>
            <w:tcW w:w="7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Conflict with Trust Indenture Act</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122" w:type="dxa"/>
            <w:tcBorders/>
            <w:shd w:fill="FFFFFF" w:val="clear"/>
            <w:vAlign w:val="center"/>
          </w:tcPr>
          <w:p>
            <w:pPr>
              <w:pStyle w:val="TableContents"/>
              <w:bidi w:val="0"/>
              <w:spacing w:before="0" w:after="283"/>
              <w:jc w:val="left"/>
              <w:rPr/>
            </w:pPr>
            <w:r>
              <w:rPr/>
              <w:t> </w:t>
            </w:r>
          </w:p>
        </w:tc>
        <w:tc>
          <w:tcPr>
            <w:tcW w:w="2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13.10</w:t>
            </w:r>
          </w:p>
        </w:tc>
        <w:tc>
          <w:tcPr>
            <w:tcW w:w="7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Counterparts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122" w:type="dxa"/>
            <w:tcBorders/>
            <w:shd w:fill="CCEEFF" w:val="clear"/>
            <w:vAlign w:val="center"/>
          </w:tcPr>
          <w:p>
            <w:pPr>
              <w:pStyle w:val="TableContents"/>
              <w:bidi w:val="0"/>
              <w:spacing w:before="0" w:after="283"/>
              <w:jc w:val="left"/>
              <w:rPr/>
            </w:pPr>
            <w:r>
              <w:rPr/>
              <w:t> </w:t>
            </w:r>
          </w:p>
        </w:tc>
        <w:tc>
          <w:tcPr>
            <w:tcW w:w="2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13.11</w:t>
            </w:r>
          </w:p>
        </w:tc>
        <w:tc>
          <w:tcPr>
            <w:tcW w:w="7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Separability</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122" w:type="dxa"/>
            <w:tcBorders/>
            <w:shd w:fill="FFFFFF" w:val="clear"/>
            <w:vAlign w:val="center"/>
          </w:tcPr>
          <w:p>
            <w:pPr>
              <w:pStyle w:val="TableContents"/>
              <w:bidi w:val="0"/>
              <w:spacing w:before="0" w:after="283"/>
              <w:jc w:val="left"/>
              <w:rPr/>
            </w:pPr>
            <w:r>
              <w:rPr/>
              <w:t> </w:t>
            </w:r>
          </w:p>
        </w:tc>
        <w:tc>
          <w:tcPr>
            <w:tcW w:w="2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13.12</w:t>
            </w:r>
          </w:p>
        </w:tc>
        <w:tc>
          <w:tcPr>
            <w:tcW w:w="7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Certificates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122" w:type="dxa"/>
            <w:tcBorders/>
            <w:shd w:fill="CCEEFF" w:val="clear"/>
            <w:vAlign w:val="center"/>
          </w:tcPr>
          <w:p>
            <w:pPr>
              <w:pStyle w:val="TableContents"/>
              <w:bidi w:val="0"/>
              <w:spacing w:before="0" w:after="283"/>
              <w:jc w:val="left"/>
              <w:rPr/>
            </w:pPr>
            <w:r>
              <w:rPr/>
              <w:t> </w:t>
            </w:r>
          </w:p>
        </w:tc>
        <w:tc>
          <w:tcPr>
            <w:tcW w:w="2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13.13</w:t>
            </w:r>
          </w:p>
        </w:tc>
        <w:tc>
          <w:tcPr>
            <w:tcW w:w="7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USA PATRIOT ACT</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122" w:type="dxa"/>
            <w:tcBorders/>
            <w:shd w:fill="FFFFFF" w:val="clear"/>
            <w:vAlign w:val="center"/>
          </w:tcPr>
          <w:p>
            <w:pPr>
              <w:pStyle w:val="TableContents"/>
              <w:bidi w:val="0"/>
              <w:spacing w:before="0" w:after="283"/>
              <w:jc w:val="left"/>
              <w:rPr/>
            </w:pPr>
            <w:r>
              <w:rPr/>
              <w:t> </w:t>
            </w:r>
          </w:p>
        </w:tc>
        <w:tc>
          <w:tcPr>
            <w:tcW w:w="2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13.14</w:t>
            </w:r>
          </w:p>
        </w:tc>
        <w:tc>
          <w:tcPr>
            <w:tcW w:w="7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Calculations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xml:space="preserve">, dated as of [●], 202[●], between </w:t>
      </w:r>
      <w:r>
        <w:rPr>
          <w:rFonts w:ascii="Times New Roman;Times;Serif" w:hAnsi="Times New Roman;Times;Serif"/>
          <w:b/>
          <w:i w:val="false"/>
          <w:caps w:val="false"/>
          <w:smallCaps w:val="false"/>
          <w:sz w:val="20"/>
        </w:rPr>
        <w:t>MOONLAKE IMMUNOTHERAPEUTICS</w:t>
      </w:r>
      <w:r>
        <w:rPr>
          <w:rFonts w:ascii="Times New Roman;Times;Serif" w:hAnsi="Times New Roman;Times;Serif"/>
          <w:b w:val="false"/>
          <w:i w:val="false"/>
          <w:caps w:val="false"/>
          <w:smallCaps w:val="false"/>
          <w:sz w:val="20"/>
        </w:rPr>
        <w:t>, a Cayman Islands exempted company limited by shares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xml:space="preserve">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its lawful corporate purposes, the Company has duly authorized the execution and delivery of this Indenture to provide for the issuance of debt securities (hereinafter referred to as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to provide the terms and conditions upon which the Securities are to be authenticated, issued and delivered, the Company has duly authorized the execution of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things necessary to make this Indenture a valid and binding agreement of the Company, in accordance with its terms, have been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purchase of the Securities by the holders thereof, it is mutually covenanted and agreed as follows for the equal and ratable benefit of the holders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 of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Authenticating Agent</w:t>
      </w:r>
      <w:r>
        <w:rPr>
          <w:rFonts w:ascii="Times New Roman;Times;Serif" w:hAnsi="Times New Roman;Times;Serif"/>
          <w:b w:val="false"/>
          <w:i w:val="false"/>
          <w:caps w:val="false"/>
          <w:smallCaps w:val="false"/>
          <w:sz w:val="20"/>
        </w:rPr>
        <w:t xml:space="preserve">” means an authenticating agent with respect to all or any of the series of Securities appointed by the Trustee pursuant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Law</w:t>
      </w:r>
      <w:r>
        <w:rPr>
          <w:rFonts w:ascii="Times New Roman;Times;Serif" w:hAnsi="Times New Roman;Times;Serif"/>
          <w:b w:val="false"/>
          <w:i w:val="false"/>
          <w:caps w:val="false"/>
          <w:smallCaps w:val="false"/>
          <w:sz w:val="20"/>
        </w:rPr>
        <w:t>” means Title 11, U.S. Code, Part V of the Companies Act (as amended) of the Cayman Islands, the Companies Winding-Up Rules, 2018 of the Cayman Islands, the Insolvency Practitioner’s Regulations, 2018 of the Cayman Islands, and the Foreign Bankruptcy Proceedings (International Cooperation) Rules, 2018 of the Cayman Islands, each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(or the functional equivalent thereof) of the Company or any duly authorized committee of such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an Officer of the Company to have been duly adopted by the Board of Directors and to be in full force and effect on the date of such certification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series of Securities, any day other than a day on which federal or state banking institutions in the Borough of Manhattan, the City of New York, or at a place of payment, are authorized or obligated by law, executive order or regulation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MoonLake Immunotherapeutics, a Cayman Islands exempted company limited by shares, and, subject to the provisions of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shall also include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order of the Company, signed by an Officer of the Company,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administered, which office at the date hereof is located at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Defaulted Interest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means, with respect to Securities of a particular series, any event specified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continued for the period of time, if any, therein designated.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United States Securities Exchange Act of 1934, as amended, and the rules and regulations promulgated by the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Security</w:t>
      </w:r>
      <w:r>
        <w:rPr>
          <w:rFonts w:ascii="Times New Roman;Times;Serif" w:hAnsi="Times New Roman;Times;Serif"/>
          <w:b w:val="false"/>
          <w:i w:val="false"/>
          <w:caps w:val="false"/>
          <w:smallCaps w:val="false"/>
          <w:sz w:val="20"/>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Obligations</w:t>
      </w:r>
      <w:r>
        <w:rPr>
          <w:rFonts w:ascii="Times New Roman;Times;Serif" w:hAnsi="Times New Roman;Times;Serif"/>
          <w:b w:val="false"/>
          <w:i w:val="false"/>
          <w:caps w:val="false"/>
          <w:smallCaps w:val="false"/>
          <w:sz w:val="20"/>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hereof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and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hereunder</w:t>
      </w:r>
      <w:r>
        <w:rPr>
          <w:rFonts w:ascii="Times New Roman;Times;Serif" w:hAnsi="Times New Roman;Times;Serif"/>
          <w:b w:val="false"/>
          <w:i w:val="false"/>
          <w:caps w:val="false"/>
          <w:smallCaps w:val="false"/>
          <w:sz w:val="20"/>
        </w:rPr>
        <w:t>”, and other words of similar import, refer to this Indenture as a whole and not to any particular Article, Section or other subdivision.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 any director of the Company or any other formally appointed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xml:space="preserve">” means a certificate signed by any Officer. Each such certificate shall include the statements provided for in </w:t>
      </w:r>
      <w:r>
        <w:rPr>
          <w:rFonts w:ascii="Times New Roman;Times;Serif" w:hAnsi="Times New Roman;Times;Serif"/>
          <w:b w:val="false"/>
          <w:i w:val="false"/>
          <w:caps w:val="false"/>
          <w:smallCaps w:val="false"/>
          <w:sz w:val="20"/>
          <w:u w:val="single"/>
        </w:rPr>
        <w:t>Section 13.07</w:t>
      </w:r>
      <w:r>
        <w:rPr>
          <w:rFonts w:ascii="Times New Roman;Times;Serif" w:hAnsi="Times New Roman;Times;Serif"/>
          <w:b w:val="false"/>
          <w:i w:val="false"/>
          <w:caps w:val="false"/>
          <w:smallCaps w:val="false"/>
          <w:sz w:val="20"/>
        </w:rPr>
        <w:t>, if and to the extent required by the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w:t>
      </w:r>
      <w:r>
        <w:rPr>
          <w:rFonts w:ascii="Times New Roman;Times;Serif" w:hAnsi="Times New Roman;Times;Serif"/>
          <w:b w:val="false"/>
          <w:i w:val="false"/>
          <w:caps w:val="false"/>
          <w:smallCaps w:val="false"/>
          <w:sz w:val="20"/>
          <w:u w:val="single"/>
        </w:rPr>
        <w:t>Section 13.07</w:t>
      </w:r>
      <w:r>
        <w:rPr>
          <w:rFonts w:ascii="Times New Roman;Times;Serif" w:hAnsi="Times New Roman;Times;Serif"/>
          <w:b w:val="false"/>
          <w:i w:val="false"/>
          <w:caps w:val="false"/>
          <w:smallCaps w:val="false"/>
          <w:sz w:val="20"/>
        </w:rPr>
        <w:t>, if and to the extent required by the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xml:space="preserve">”, when used with reference to Securities of any series, means, subject to the provisions of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if such Securities or portions of such Securities are to be redeemed prior to the maturity thereof, notice of such redemption shall have been given as provided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or provision satisfactory to the Trustee shall have been made for giving such notice; and (c) Securities in lieu of or in substitution for which other Securities shall have been authenticated and delivered pursuant to the terms of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Predecessor Security</w:t>
      </w:r>
      <w:r>
        <w:rPr>
          <w:rFonts w:ascii="Times New Roman;Times;Serif" w:hAnsi="Times New Roman;Times;Serif"/>
          <w:b w:val="false"/>
          <w:i w:val="false"/>
          <w:caps w:val="false"/>
          <w:smallCaps w:val="false"/>
          <w:sz w:val="20"/>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in lieu of a lost, destroyed or stolen Security shall be deemed to evidence the same debt as the lost, destroyed or stolen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and more particularly means any Securities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registered holder</w:t>
      </w:r>
      <w:r>
        <w:rPr>
          <w:rFonts w:ascii="Times New Roman;Times;Serif" w:hAnsi="Times New Roman;Times;Serif"/>
          <w:b w:val="false"/>
          <w:i w:val="false"/>
          <w:caps w:val="false"/>
          <w:smallCaps w:val="false"/>
          <w:sz w:val="20"/>
        </w:rPr>
        <w:t>”, or other similar term, means the Person or Persons in whose name or names a particular Security is registered on the Security Register kept for that purpose in accordance with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Security Registrar</w:t>
      </w:r>
      <w:r>
        <w:rPr>
          <w:rFonts w:ascii="Times New Roman;Times;Serif" w:hAnsi="Times New Roman;Times;Serif"/>
          <w:b w:val="false"/>
          <w:i w:val="false"/>
          <w:caps w:val="false"/>
          <w:smallCaps w:val="false"/>
          <w:sz w:val="20"/>
        </w:rPr>
        <w:t xml:space="preserve">” shall have the meanings as set forth in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corporation or company a majority of whose capital stock with voting power, under ordinary circumstances, to elect directors is, at the date of determination, directly or indirectly, owned by such Person (a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by one or more subsidiaries of such Person or by such Person and one or more subsidiaries of such Person;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partnership in which such Person or a subsidiary of such Person is, at the date of determination, a general partner of such partnership; or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xml:space="preserve">” means, and, subject to the provisions of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shall also include its successors and assigns, and, if at any time there is more than one Person acting in such capacity hereunder,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shall mean each such Person. The term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used with respect to a particular series of the Securities shall mean the trustee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 and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dollar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means the lawful currency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DESCRIPTION, TERMS, EXECUTION, REGISTRATION AND EXCHANGE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Designation and Terms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Securities of the series (which shall distinguish the Securities of that series from all other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date or dates on which the principal of the Securities of the series is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rate or rates at which the Securities of the series shall bear interest or the manner of calculation of such rate or rates,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right, if any, to extend the interest payment periods and the duration of such extension;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period or periods within which, the price or prices at which and the terms and conditions upon which Securities of the series may be redeemed, converted or exchanged, in whole or in part;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form of the Securities of the series including the form of the Certificate of Authentication for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if other than minimum denominations of one thousand U.S. dollars ($1,000) or any integral multiple of $1,000 thereof, the denominations in which the Securities of the series shall be issuable;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whether the Securities will be convertible into or exchangeable for ordinary shares, preference shares, shares of common stock, preferred stock or other securities (as applicable)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if other than the full principal amount thereof, the portion of the principal amount of Securities of the series which shall be payable upon declaration of acceleration of the maturity thereof pursuant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any additional or alternative Events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shares or capital stock (as applicable) of the Company or the Company’s Subsidiaries; redeem shares or capital stock (as applicable); place restrictions on the Company’s Subsidiaries’ ability to pay dividends, make distributions or transfer assets; make investments or other restricted payments; sell or otherwise dispose of assets; enter into sale-leaseback transactions; engage in transactions with shareholders or stockholders (as applicable) or affiliates; issue or sell shares or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whether interest will be payable in cash or additional Securities at the Company’s or the Securityholders’ option and the terms and conditions upon which the election may be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terms and conditions, if any, upon which the Company shall pay amounts in addition to the stated interest, premium, if any and principal amounts of the Securities of the series to any Securityholder that is not a “</w:t>
      </w:r>
      <w:r>
        <w:rPr>
          <w:rFonts w:ascii="Times New Roman;Times;Serif" w:hAnsi="Times New Roman;Times;Serif"/>
          <w:b/>
          <w:i w:val="false"/>
          <w:caps w:val="false"/>
          <w:smallCaps w:val="false"/>
          <w:sz w:val="20"/>
        </w:rPr>
        <w:t>United States person</w:t>
      </w:r>
      <w:r>
        <w:rPr>
          <w:rFonts w:ascii="Times New Roman;Times;Serif" w:hAnsi="Times New Roman;Times;Serif"/>
          <w:b w:val="false"/>
          <w:i w:val="false"/>
          <w:caps w:val="false"/>
          <w:smallCaps w:val="false"/>
          <w:sz w:val="20"/>
        </w:rPr>
        <w:t>” for federal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additional or alternative provisions, if any, related to defeasance and discharge of the offered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applicability of any guarantees;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any restrictions on transfer, sale or assignment of the Securities of the series;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any other terms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may otherwise be provided in or pursuant to any such Board Resolution or in any indentures supplemental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of the Company, a copy of an appropriate record of such action shall be certified by an Officer of the Company and delivered to the Trustee at or prior to the delivery of the Officer’s Certificate of the Company setting forth the terms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Form of Securities and Trustee’s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Denominations: Provisions for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 </w:t>
      </w:r>
      <w:r>
        <w:rPr>
          <w:rFonts w:ascii="Times New Roman;Times;Serif" w:hAnsi="Times New Roman;Times;Serif"/>
          <w:b w:val="false"/>
          <w:i w:val="false"/>
          <w:caps w:val="false"/>
          <w:smallCaps w:val="false"/>
          <w:sz w:val="20"/>
          <w:u w:val="single"/>
        </w:rPr>
        <w:t>Section 2.01(a)(18)</w:t>
      </w:r>
      <w:r>
        <w:rPr>
          <w:rFonts w:ascii="Times New Roman;Times;Serif" w:hAnsi="Times New Roman;Times;Serif"/>
          <w:b w:val="false"/>
          <w:i w:val="false"/>
          <w:caps w:val="false"/>
          <w:smallCaps w:val="false"/>
          <w:sz w:val="20"/>
        </w:rPr>
        <w:t>,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that is payable, but is not punctually paid or duly provided for, on any Interest Payment Date for Securities of the same series (herein called “</w:t>
      </w:r>
      <w:r>
        <w:rPr>
          <w:rFonts w:ascii="Times New Roman;Times;Serif" w:hAnsi="Times New Roman;Times;Serif"/>
          <w:b/>
          <w:i w:val="false"/>
          <w:caps w:val="false"/>
          <w:smallCaps w:val="false"/>
          <w:sz w:val="20"/>
        </w:rPr>
        <w:t>Defaulted Interest</w:t>
      </w:r>
      <w:r>
        <w:rPr>
          <w:rFonts w:ascii="Times New Roman;Times;Serif" w:hAnsi="Times New Roman;Times;Serif"/>
          <w:b w:val="false"/>
          <w:i w:val="false"/>
          <w:caps w:val="false"/>
          <w:smallCaps w:val="false"/>
          <w:sz w:val="20"/>
        </w:rPr>
        <w: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set forth in a Board Resolution or one or more indentures supplemental hereto establishing the terms of any series of Securities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hereof, the term “</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xml:space="preserve">” as used in this Section with respect to a series of Securities and any Interest Payment Date for such series shall mean either (i) the fifteenth day of the month immediately preceding the month in which an Interest Payment Date established for such series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hereof shall occur, if such Interest Payment Date is the first day of a month, or (ii) the first day of the month in which an Interest Payment Date established for such series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hereof shall occur, if such Interest Payment Date is the fifteenth day of a month, whether or not such date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Execution and Authentications.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signed on behalf of the Company by one of its Officers. Signatures may be in the form of a manual or facsimile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use the facsimile signature of any Person who shall have been a director or an Officer, notwithstanding the fact that at the time the Securities shall be authenticated and delivered or disposed of such Person shall have ceased to be such a director or an officer of the Company. The Securities may contain such notations, legends or endorsements required by law, stock exchange rule or usage. Each Security shall be dated the date of its authentication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authenticating such Securities and accepting the additional responsibilities under this Indenture in relation to such Securities, the Trustee shall receive, and (subject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Registration of Transfer and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keep, or cause to be kept, at its office or agency designated for such purpose a register or registers (herein referred to as the “</w:t>
      </w:r>
      <w:r>
        <w:rPr>
          <w:rFonts w:ascii="Times New Roman;Times;Serif" w:hAnsi="Times New Roman;Times;Serif"/>
          <w:b/>
          <w:i w:val="false"/>
          <w:caps w:val="false"/>
          <w:smallCaps w:val="false"/>
          <w:sz w:val="20"/>
        </w:rPr>
        <w:t>Security Register</w:t>
      </w:r>
      <w:r>
        <w:rPr>
          <w:rFonts w:ascii="Times New Roman;Times;Serif" w:hAnsi="Times New Roman;Times;Serif"/>
          <w:b w:val="false"/>
          <w:i w:val="false"/>
          <w:caps w:val="false"/>
          <w:smallCaps w:val="false"/>
          <w:sz w:val="20"/>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Times New Roman;Times;Serif" w:hAnsi="Times New Roman;Times;Serif"/>
          <w:b/>
          <w:i w:val="false"/>
          <w:caps w:val="false"/>
          <w:smallCaps w:val="false"/>
          <w:sz w:val="20"/>
        </w:rPr>
        <w:t>Security Registrar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provided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not involving any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are, with respect to any Global Security, subject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Trustee nor any agent shall have any responsibility or liability for any actions taken or not taken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Temporary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Mutilated, Destroyed, Lost or Stolen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the purpose of payment, redemption, exchange or registration of transfer shall, if surrendered to the Company or any paying agent, be delivered to the Trustee for cancellation, or, if surrendered to the Trustee, shall be canceled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Benefits of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Authenticating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Global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Company shall establish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that the Securities of a particular series are to be issued as a Global Security, then the Company shall execute and the Trustee shall, in accordance with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held by it, pursuant to the Depositary’s instruction and (iv) shall bear a legend substantially to the following effect: “</w:t>
      </w:r>
      <w:r>
        <w:rPr>
          <w:rFonts w:ascii="Times New Roman;Times;Serif" w:hAnsi="Times New Roman;Times;Serif"/>
          <w:b/>
          <w:i w:val="false"/>
          <w:caps w:val="false"/>
          <w:smallCaps w:val="false"/>
          <w:sz w:val="20"/>
        </w:rPr>
        <w:t xml:space="preserve">Except as otherwise provided in </w:t>
      </w:r>
      <w:r>
        <w:rPr>
          <w:rFonts w:ascii="Times New Roman;Times;Serif" w:hAnsi="Times New Roman;Times;Serif"/>
          <w:b/>
          <w:i w:val="false"/>
          <w:caps w:val="false"/>
          <w:smallCaps w:val="false"/>
          <w:sz w:val="20"/>
          <w:u w:val="single"/>
        </w:rPr>
        <w:t>Section 2.11</w:t>
      </w:r>
      <w:r>
        <w:rPr>
          <w:rFonts w:ascii="Times New Roman;Times;Serif" w:hAnsi="Times New Roman;Times;Serif"/>
          <w:b/>
          <w:i w:val="false"/>
          <w:caps w:val="false"/>
          <w:smallCaps w:val="false"/>
          <w:sz w:val="20"/>
        </w:rPr>
        <w:t xml:space="preserve"> of the Indenture, this Security may be transferred, in whole but not in part, only to another nominee of the Depositary or to a successor Depositary or to a nominee of such successor Depositary.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provisions of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the Global Security of a series may be transferred, in whole but not in part and in the manner provided in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only to another nominee of the Depositary for such series, or to a successor Depositary for such series selected or approved by the Company or to a nominee of such successor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no longer be applicable to the Securities of such series and the Company will execute, and subject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no longer apply to the Securities of such series. In such event the Company will execute and, subject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SECURITIES AND SINKING FUND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redeem the Securities of any series issued hereunder on and after the dates and in accordance with the terms established for such series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Notice of Redemption.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case the Company shall desire to exercise such right to redeem all or, as the case may be, a portion of the Securities of any series in accordance with any right the Company reserved for itself to do so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 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(with a copy to the 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 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Payment Upon Redemption.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Sinking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w:t>
      </w:r>
      <w:r>
        <w:rPr>
          <w:rFonts w:ascii="Times New Roman;Times;Serif" w:hAnsi="Times New Roman;Times;Serif"/>
          <w:b w:val="false"/>
          <w:i w:val="false"/>
          <w:caps w:val="false"/>
          <w:smallCaps w:val="false"/>
          <w:sz w:val="20"/>
          <w:u w:val="single"/>
        </w:rPr>
        <w:t>Sections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3.06</w:t>
      </w:r>
      <w:r>
        <w:rPr>
          <w:rFonts w:ascii="Times New Roman;Times;Serif" w:hAnsi="Times New Roman;Times;Serif"/>
          <w:b w:val="false"/>
          <w:i w:val="false"/>
          <w:caps w:val="false"/>
          <w:smallCaps w:val="false"/>
          <w:sz w:val="20"/>
        </w:rPr>
        <w:t xml:space="preserve"> shall be applicable to any sinking fund for the retirement of Securities of a series, except as otherwise specified as contemplated by Section 2.01 for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w:t>
      </w:r>
      <w:r>
        <w:rPr>
          <w:rFonts w:ascii="Times New Roman;Times;Serif" w:hAnsi="Times New Roman;Times;Serif"/>
          <w:b/>
          <w:i w:val="false"/>
          <w:caps w:val="false"/>
          <w:smallCaps w:val="false"/>
          <w:sz w:val="20"/>
        </w:rPr>
        <w:t>mandatory sinking fund payment</w:t>
      </w:r>
      <w:r>
        <w:rPr>
          <w:rFonts w:ascii="Times New Roman;Times;Serif" w:hAnsi="Times New Roman;Times;Serif"/>
          <w:b w:val="false"/>
          <w:i w:val="false"/>
          <w:caps w:val="false"/>
          <w:smallCaps w:val="false"/>
          <w:sz w:val="20"/>
        </w:rPr>
        <w:t>,” and any payment in excess of such minimum amount provided for by the terms of Securities of any series is herein referred to as an “</w:t>
      </w:r>
      <w:r>
        <w:rPr>
          <w:rFonts w:ascii="Times New Roman;Times;Serif" w:hAnsi="Times New Roman;Times;Serif"/>
          <w:b/>
          <w:i w:val="false"/>
          <w:caps w:val="false"/>
          <w:smallCaps w:val="false"/>
          <w:sz w:val="20"/>
        </w:rPr>
        <w:t>optional sinking fund payment</w:t>
      </w:r>
      <w:r>
        <w:rPr>
          <w:rFonts w:ascii="Times New Roman;Times;Serif" w:hAnsi="Times New Roman;Times;Serif"/>
          <w:b w:val="false"/>
          <w:i w:val="false"/>
          <w:caps w:val="false"/>
          <w:smallCaps w:val="false"/>
          <w:sz w:val="20"/>
        </w:rPr>
        <w:t xml:space="preserve">”. If provided for by the terms of Securities of any series, the cash amount of any sinking fund payment may be subject to reduction as provided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Each sinking fund payment shall be applied to the redemption of Securities of any series as provided for by the terms of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Satisfaction of Sinking Fund Payments with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Redemption of Securities for Sinking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and cause notice of the redemption thereof to be given in the name of and at the expense of the Company in the manner provided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Such notice having been duly given, the redemption of such Securities shall be made upon the terms and in the manner stated in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Payment of Principal, Premium and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Maintenance of Office or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 long as any series of the Securities remain Outstanding, the Company agrees to maintain an office or agency with respect to each such series and at such other location or locations as may be designated as provided in this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where (i) Securities of that series may be presented for payment, (ii) 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Paying Agents.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it will, at any time during the continuance of any failure referred to in the preceding paragraph (a)(2) above, upon the written request of the Trustee, forthwith pay to the Trustee all sums so held in trust by such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upon any receivership, insolvency, liquidation, bankruptcy, reorganization, readjustment, arrangement, composition or judicial proceedings affecting the Company, the Trustee will automatically be the paying agent;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it will perform all other duties of paying agent as set forth in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in this Section to the contrary, (i) the agreement to hold sums in trust as provided in this Section is subject to the provisions of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initially appoints the Trustee at its Corporate Trust Office as its paying agent with respect to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Appointment to Fill Vacancy in Office of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whenever necessary to avoid or fill a vacancy in the office of Trustee, will appoint, in the manner provided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a Trustee, so that there shall at all times be a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Compliance with Consolidation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hereof are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SECURITYHOLDERS’ LISTS AND REPORTS BY THE COMPANY AND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Company to Furnish Trustee Names and Addresses of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furnish or cause to be furnished to the Trustee (a) within 5 days after each regular record date (as defined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a list, in such form as the Trustee may reasonably require, of the names and addresses of the holders of each series of Securities as of such regular record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Company shall not be obligated to furnish or cause to be furnished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in either case, no such list need be furnished for any series for which the Trustee shall be the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Preservation of Information; Communications With Securityholders.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Trustee shall preserve, in as current a form as is reasonably practicable, all information as to the names and addresses of the holders of Securities contained in the most recent list furnished to it as provided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and as to the names and addresses of holders of Securities received by the Trustee in its capacity as Security Registrar (if acting in such capacity).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Trustee may destroy any list furnished to it as provided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upon receipt of a new list so furnished.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Reports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the Company shall not be required to deliver to the Trustee any materials for which the Company has sought and received confidential treatment by the Commission;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Delivery of reports, information and documents to the Trustee under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its covenants thereunder (as to which the Trustee is entitled to rely exclusively on an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Reports by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required by Section 313(a) of the Trust Indenture Act, the Trustee, within sixty (60) days after each May 15, 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comply with Sections 313(b) and 313(c) of the Trust Indenture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 OF THE TRUSTEE AND SECURITYHOLDERS ON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Whenever used herein with respect to Securities of a particular series,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means any one or more of the following events that has occurred and is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Company defaults in the payment of any installment of interest upon any of the Securities of that series, as and when the same shall become due and payable, and such default continues for a period of 90 days;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a valid extension of an interest payment period by the Company in accordance with the terms of any indenture supplemental hereto shall not constitute a default in the payment of interest for this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a valid extension of the maturity of such Securities in accordance with the terms of any indenture supplemental hereto shall not constitute a default in the payment of principal or premium,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Company fails to observe or perform any other of its covenants or agreements with respect to that series contained in this Indenture or otherwise established with respect to that series of Securities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Times New Roman;Times;Serif" w:hAnsi="Times New Roman;Times;Serif"/>
          <w:b/>
          <w:i w:val="false"/>
          <w:caps w:val="false"/>
          <w:smallCaps w:val="false"/>
          <w:sz w:val="20"/>
        </w:rPr>
        <w:t>Notice of Default</w:t>
      </w:r>
      <w:r>
        <w:rPr>
          <w:rFonts w:ascii="Times New Roman;Times;Serif" w:hAnsi="Times New Roman;Times;Serif"/>
          <w:b w:val="false"/>
          <w:i w:val="false"/>
          <w:caps w:val="false"/>
          <w:smallCaps w:val="false"/>
          <w:sz w:val="20"/>
        </w:rPr>
        <w:t>” hereunder, shall have been given to the Company by the Trustee or to the Company and the Trustee by the holders of at least 25% in principal amount of the Securities of that series at the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and annulment shall extend to or shall affect any subsequent default or impair any right consequent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Collection of Indebtedness and Suits for Enforcement by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case of any receivership, insolvency, liquidation, bankruptcy, reorganization, readjustment, arrangement, composition or judicial proceedings affecting the Company, or its creditors or property, irrespective of whether the Trustee shall have made any demand pursuant to this Section 6.02,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be for the ratable benefit of the holders of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Application of Moneys Collected.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To the payment of reasonable costs and expenses of collection and of all amounts payable to the Trustee, its agents and attorneys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To the payment of the remainder, if any, to the Company or any other Person lawfully entitled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Limitation on Suits.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 (v) during such 90-day period, the holders of a majority in principal amount of the Securities of that series do not give the Trustee a direction inconsistent with the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Rights and Remedies Cumulative; Delay or Omission Not Waiver.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provided in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every power and remedy given by this Article or by law to the Trustee or the Securityholders may be exercised from time to time, and as often as shall be deemed expedient, by the Trustee or by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val="false"/>
          <w:caps w:val="false"/>
          <w:smallCaps w:val="false"/>
          <w:sz w:val="20"/>
          <w:u w:val="single"/>
        </w:rPr>
        <w:t>Control by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a majority in aggregate principal amount of the Securities of any series at the time Outstanding, determined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shall have the right to direct the time, method and place of conducting any proceeding for any remedy available to the Trustee, or exercising any trust or power conferred on the Trustee with respect to such series;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such direction shall not be in conflict with any rule of law or with this Indenture or subject the Trustee in its sole discretion to personal liability. The Trustee shall have the right 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may on behalf of the holders of all of the Securities of such series waive any past default in the performance of any of the covenants contained herein or established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val="false"/>
          <w:caps w:val="false"/>
          <w:smallCaps w:val="false"/>
          <w:sz w:val="20"/>
          <w:u w:val="single"/>
        </w:rPr>
        <w:t>Undertaking to Pay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Certain Duties and Responsibilities of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prior to the occurrence of an Event of Default with respect to the Securities of a series and after the curing or waiving of all such Events of Default with respect to that series that may have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not be liable for any error of judgment made in good faith by a Responsible Officer or Responsible Officers of the Trustee, unless it shall be proved that the Trustee was negligent in ascertaining the pertinent facts;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Certain Rights of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incurred therein or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any action taken or omitted to be taken by it in good faith and believed by it to be authorized or within the discretion or rights or powers conferred upon it by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the payment within a reasonable time to the Trustee of the costs, expenses, claims or liabilities likely to be incurred by 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permissive rights of the Trustee enumerated herein shall not be construed as duties;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may request that the Company deliver a certificate setting forth the names of individuals and/or titles of officers authorized at such time to take specified actions pursuant to this Indenture;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required to give any bond or surety in respect of the performance of its powers and duties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Trustee Not Responsible for Recitals or Issuance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recitals contained herein and in the Securities shall be taken as the statements of the Company, and the Trustee assumes no responsibility for the correctness of the same.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makes no representations as to the validity or sufficiency of this Indenture or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or for the use or application of any moneys received by any paying agent other than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May Hold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Moneys Held in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Compensation and Reimbursement.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 </w:t>
      </w:r>
      <w:r>
        <w:rPr>
          <w:rFonts w:ascii="Times New Roman;Times;Serif" w:hAnsi="Times New Roman;Times;Serif"/>
          <w:b w:val="false"/>
          <w:i w:val="false"/>
          <w:caps w:val="false"/>
          <w:smallCaps w:val="false"/>
          <w:sz w:val="20"/>
          <w:u w:val="single"/>
        </w:rPr>
        <w:t>Section 6.01(a)(4)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the expenses (including the reasonable fees and expenses of its counsel) and the compensation for services in connection therewith are to constitute expenses of administration under any Bankruptcy Law. The provisions of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shall survive the termination of this Indenture and the earlier resignation or removal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Reliance on Officer’s Certificate or Opinion of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val="false"/>
          <w:caps w:val="false"/>
          <w:smallCaps w:val="false"/>
          <w:sz w:val="20"/>
          <w:u w:val="single"/>
        </w:rPr>
        <w:t>Disqualification; Conflicting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any “</w:t>
      </w:r>
      <w:r>
        <w:rPr>
          <w:rFonts w:ascii="Times New Roman;Times;Serif" w:hAnsi="Times New Roman;Times;Serif"/>
          <w:b/>
          <w:i w:val="false"/>
          <w:caps w:val="false"/>
          <w:smallCaps w:val="false"/>
          <w:sz w:val="20"/>
        </w:rPr>
        <w:t>conflicting interest</w:t>
      </w:r>
      <w:r>
        <w:rPr>
          <w:rFonts w:ascii="Times New Roman;Times;Serif" w:hAnsi="Times New Roman;Times;Serif"/>
          <w:b w:val="false"/>
          <w:i w:val="false"/>
          <w:caps w:val="false"/>
          <w:smallCaps w:val="false"/>
          <w:sz w:val="20"/>
        </w:rPr>
        <w:t>” within the meaning of Section 310(b) of the Trust Indenture Act, the Trustee and the Company shall in all respects comply with the provisions of Section 310(b)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val="false"/>
          <w:caps w:val="false"/>
          <w:smallCaps w:val="false"/>
          <w:sz w:val="20"/>
          <w:u w:val="single"/>
        </w:rPr>
        <w:t>Corporate Trustee Required; Eligibility.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Resignation and Removal; Appointment of Successor.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one of the following shall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Trustee shall fail to comply with the provisions of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after written request therefor by the Company or by any Securityholder who has been a bona fide holder of a Security or Securities for at least six months;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Trustee shall cease to be eligible in accordance with the provisions of </w:t>
      </w:r>
      <w:r>
        <w:rPr>
          <w:rFonts w:ascii="Times New Roman;Times;Serif" w:hAnsi="Times New Roman;Times;Serif"/>
          <w:b w:val="false"/>
          <w:i w:val="false"/>
          <w:caps w:val="false"/>
          <w:smallCaps w:val="false"/>
          <w:sz w:val="20"/>
          <w:u w:val="single"/>
        </w:rPr>
        <w:t>Section 7.09</w:t>
      </w:r>
      <w:r>
        <w:rPr>
          <w:rFonts w:ascii="Times New Roman;Times;Serif" w:hAnsi="Times New Roman;Times;Serif"/>
          <w:b w:val="false"/>
          <w:i w:val="false"/>
          <w:caps w:val="false"/>
          <w:smallCaps w:val="false"/>
          <w:sz w:val="20"/>
        </w:rPr>
        <w:t xml:space="preserve"> and shall fail to resign after written request therefor by the Company or by any such Securityholder;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resignation or removal of the Trustee and appointment of a successor trustee with respect to the Securities of a series pursuant to any of the provisions of this Section shall become effective upon acceptance of appointment by the successor trustee as provided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Acceptance of Appointment By Successor.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successor trustee shall accept its appointment unless at the time of such acceptance such successor trustee shall be qualified and eligible under this Article.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Merger, Conversion, Consolidation or Succession to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corporation shall be qualified under the provisions of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and eligible under the provisions of </w:t>
      </w:r>
      <w:r>
        <w:rPr>
          <w:rFonts w:ascii="Times New Roman;Times;Serif" w:hAnsi="Times New Roman;Times;Serif"/>
          <w:b w:val="false"/>
          <w:i w:val="false"/>
          <w:caps w:val="false"/>
          <w:smallCaps w:val="false"/>
          <w:sz w:val="20"/>
          <w:u w:val="single"/>
        </w:rPr>
        <w:t>Section 7.09</w:t>
      </w:r>
      <w:r>
        <w:rPr>
          <w:rFonts w:ascii="Times New Roman;Times;Serif" w:hAnsi="Times New Roman;Times;Serif"/>
          <w:b w:val="false"/>
          <w:i w:val="false"/>
          <w:caps w:val="false"/>
          <w:smallCaps w:val="false"/>
          <w:sz w:val="20"/>
        </w:rPr>
        <w:t>,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Preferential Collection of Claims Against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7.14 </w:t>
      </w:r>
      <w:r>
        <w:rPr>
          <w:rFonts w:ascii="Times New Roman;Times;Serif" w:hAnsi="Times New Roman;Times;Serif"/>
          <w:b w:val="false"/>
          <w:i w:val="false"/>
          <w:caps w:val="false"/>
          <w:smallCaps w:val="false"/>
          <w:sz w:val="20"/>
          <w:u w:val="single"/>
        </w:rPr>
        <w:t>Notice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 to a Responsible Officer of the Trustee or written notice of it is received by the Trustee, unless such Event of Default has been cured;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Evidence of Action by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Whenever in this Indenture it is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Proof of Execution by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proof of the execution of any instrument by a Securityholder (such proof will not require notarization) or his agent or proxy and proof of the holding by any Person of any of the Securities shall be sufficient if made in the following manner: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fact and date of the execution by any such Person of any instrument may be proved in any reasonable manner acceptable to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ownership of Securities shall be proved by the Security Register of such Securities or by a certificate of the Security Registrar thereof. The Trustee may require such additional proof of any matter referred to in this Section as it shall deem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rPr>
        <w:t>Who May Be Deemed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interest on such Security and for all other purposes; and neither the Company nor the Trustee nor any paying agent nor any Security Registrar shall be affected by any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val="false"/>
          <w:caps w:val="false"/>
          <w:smallCaps w:val="false"/>
          <w:sz w:val="20"/>
          <w:u w:val="single"/>
        </w:rPr>
        <w:t>Certain Securities Owned by Company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val="false"/>
          <w:caps w:val="false"/>
          <w:smallCaps w:val="false"/>
          <w:sz w:val="20"/>
          <w:u w:val="single"/>
        </w:rPr>
        <w:t>Actions Binding on Future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prior to (but not after) the evidencing to the Trustee, as provided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Supplemental Indentures Without the Consent of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defect, or inconsistency herein or in the Securities of any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comply with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for uncertificated Securities in addition to or in place of certificated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delete from, or revise the conditions, limitations, and restrictions on the authorized amount, terms, or purposes of issue, authentication, and delivery of Securities, as herein set forth;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make any change that does not adversely affect the rights of any Securityholder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to provide for the issuance of and establish the form and terms and conditions of the Securities of any series as provided in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to establish the form of any certifications required to be furnished pursuant to the terms of this Indenture or any series of Securities, or to add to the rights of the holders of any series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evidence and provide for the acceptance of appointment hereunder by a successor trustee or to appoint a separate trustee with respect to any series;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comply with any requirements of the Commission or any successor in connection with the qualification of this Indenture under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supplemental indenture authorized by the provisions of this Section may be executed by the Company and the Trustee without the consent of the holders of any of the Securities at the time Outstanding, notwithstanding any of the provisions of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val="false"/>
          <w:caps w:val="false"/>
          <w:smallCaps w:val="false"/>
          <w:sz w:val="20"/>
          <w:u w:val="single"/>
        </w:rPr>
        <w:t>Supplemental Indentures With Consent of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the consent (evidenced as provided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the rights of the holders of the Securities of such series under this Indenture;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val="false"/>
          <w:caps w:val="false"/>
          <w:smallCaps w:val="false"/>
          <w:sz w:val="20"/>
          <w:u w:val="single"/>
        </w:rPr>
        <w:t>Effect of Supplemental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execution of any supplemental indenture pursuant to the provisions of this Article or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val="false"/>
          <w:caps w:val="false"/>
          <w:smallCaps w:val="false"/>
          <w:sz w:val="20"/>
          <w:u w:val="single"/>
        </w:rPr>
        <w:t>Securities Affected by Supplemental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of any series affected by a supplemental indenture, authenticated and delivered after the execution of such supplemental indenture pursuant to the provisions of this Article or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val="false"/>
          <w:caps w:val="false"/>
          <w:smallCaps w:val="false"/>
          <w:sz w:val="20"/>
          <w:u w:val="single"/>
        </w:rPr>
        <w:t>Execution of Supplemental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Company May Consolidate,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(a) the Company hereby covenants and agrees that, upon any such consolidation or merger (in each case, if the Company is not the survivor of such transaction), sale, conveyance, transfer or other disposition, the due and punctual payment of the principal of (and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comply with this Section 10.01 and that all conditions precedent herein relating to the transaction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Successor Entity Substituted.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case of any such consolidation, merger, sale, conveyance, transfer or other disposition and upon the assumption by the successor entity by supplemental indenture, executed and delivered to the Trustee, of the obligations set forth under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val="false"/>
          <w:caps w:val="false"/>
          <w:smallCaps w:val="false"/>
          <w:sz w:val="20"/>
          <w:u w:val="single"/>
        </w:rPr>
        <w:t>Satisfaction and Discharge of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and Securities for whose payment money or Governmental Obligations have theretofore been deposited in trust or segregated and held in trust by the Company and thereupon repaid to the Company or discharged from such trust, as provided in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xml:space="preserve">);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w:t>
      </w:r>
      <w:r>
        <w:rPr>
          <w:rFonts w:ascii="Times New Roman;Times;Serif" w:hAnsi="Times New Roman;Times;Serif"/>
          <w:b w:val="false"/>
          <w:i w:val="false"/>
          <w:caps w:val="false"/>
          <w:smallCaps w:val="false"/>
          <w:sz w:val="20"/>
          <w:u w:val="single"/>
        </w:rPr>
        <w:t>Sections 2.03</w:t>
      </w:r>
      <w:r>
        <w:rPr>
          <w:rFonts w:ascii="Times New Roman;Times;Serif" w:hAnsi="Times New Roman;Times;Serif"/>
          <w:b w:val="false"/>
          <w:i w:val="false"/>
          <w:caps w:val="false"/>
          <w:smallCaps w:val="false"/>
          <w:sz w:val="20"/>
        </w:rPr>
        <w:t xml:space="preserve">, 2.05, 2.07, 4.01, 4.02, </w:t>
      </w:r>
      <w:r>
        <w:rPr>
          <w:rFonts w:ascii="Times New Roman;Times;Serif" w:hAnsi="Times New Roman;Times;Serif"/>
          <w:b w:val="false"/>
          <w:i w:val="false"/>
          <w:caps w:val="false"/>
          <w:smallCaps w:val="false"/>
          <w:sz w:val="20"/>
          <w:u w:val="single"/>
        </w:rPr>
        <w:t>4.03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7.10</w:t>
      </w:r>
      <w:r>
        <w:rPr>
          <w:rFonts w:ascii="Times New Roman;Times;Serif" w:hAnsi="Times New Roman;Times;Serif"/>
          <w:b w:val="false"/>
          <w:i w:val="false"/>
          <w:caps w:val="false"/>
          <w:smallCaps w:val="false"/>
          <w:sz w:val="20"/>
        </w:rPr>
        <w:t xml:space="preserve">, that shall survive until the date of maturity or redemption date, as the case may be, and </w:t>
      </w:r>
      <w:r>
        <w:rPr>
          <w:rFonts w:ascii="Times New Roman;Times;Serif" w:hAnsi="Times New Roman;Times;Serif"/>
          <w:b w:val="false"/>
          <w:i w:val="false"/>
          <w:caps w:val="false"/>
          <w:smallCaps w:val="false"/>
          <w:sz w:val="20"/>
          <w:u w:val="single"/>
        </w:rPr>
        <w:t xml:space="preserve">Sections 7.06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11.05</w:t>
      </w:r>
      <w:r>
        <w:rPr>
          <w:rFonts w:ascii="Times New Roman;Times;Serif" w:hAnsi="Times New Roman;Times;Serif"/>
          <w:b w:val="false"/>
          <w:i w:val="false"/>
          <w:caps w:val="false"/>
          <w:smallCaps w:val="false"/>
          <w:sz w:val="20"/>
        </w:rPr>
        <w:t>,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val="false"/>
          <w:caps w:val="false"/>
          <w:smallCaps w:val="false"/>
          <w:sz w:val="20"/>
          <w:u w:val="single"/>
        </w:rPr>
        <w:t>Discharge of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all such Securities of a particular series not heretofore delivered to the Trustee for cancellation or that have not become due and payable as described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w:t>
      </w:r>
      <w:r>
        <w:rPr>
          <w:rFonts w:ascii="Times New Roman;Times;Serif" w:hAnsi="Times New Roman;Times;Serif"/>
          <w:b w:val="false"/>
          <w:i w:val="false"/>
          <w:caps w:val="false"/>
          <w:smallCaps w:val="false"/>
          <w:sz w:val="20"/>
          <w:u w:val="single"/>
        </w:rPr>
        <w:t>Sections 2.03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11.05</w:t>
      </w:r>
      <w:r>
        <w:rPr>
          <w:rFonts w:ascii="Times New Roman;Times;Serif" w:hAnsi="Times New Roman;Times;Serif"/>
          <w:b w:val="false"/>
          <w:i w:val="false"/>
          <w:caps w:val="false"/>
          <w:smallCaps w:val="false"/>
          <w:sz w:val="20"/>
        </w:rPr>
        <w:t xml:space="preserve"> hereof that shall survive until such Securities shall mature and be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Thereafter, </w:t>
      </w:r>
      <w:r>
        <w:rPr>
          <w:rFonts w:ascii="Times New Roman;Times;Serif" w:hAnsi="Times New Roman;Times;Serif"/>
          <w:b w:val="false"/>
          <w:i w:val="false"/>
          <w:caps w:val="false"/>
          <w:smallCaps w:val="false"/>
          <w:sz w:val="20"/>
          <w:u w:val="single"/>
        </w:rPr>
        <w:t>Sections 7.06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11.05</w:t>
      </w:r>
      <w:r>
        <w:rPr>
          <w:rFonts w:ascii="Times New Roman;Times;Serif" w:hAnsi="Times New Roman;Times;Serif"/>
          <w:b w:val="false"/>
          <w:i w:val="false"/>
          <w:caps w:val="false"/>
          <w:smallCaps w:val="false"/>
          <w:sz w:val="20"/>
        </w:rPr>
        <w:t xml:space="preserve">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val="false"/>
          <w:caps w:val="false"/>
          <w:smallCaps w:val="false"/>
          <w:sz w:val="20"/>
          <w:u w:val="single"/>
        </w:rPr>
        <w:t>Deposited Moneys to be Held in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moneys or Governmental Obligations deposited with the Trustee pursuant to </w:t>
      </w:r>
      <w:r>
        <w:rPr>
          <w:rFonts w:ascii="Times New Roman;Times;Serif" w:hAnsi="Times New Roman;Times;Serif"/>
          <w:b w:val="false"/>
          <w:i w:val="false"/>
          <w:caps w:val="false"/>
          <w:smallCaps w:val="false"/>
          <w:sz w:val="20"/>
          <w:u w:val="single"/>
        </w:rPr>
        <w:t>Sections 11.01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11.02</w:t>
      </w:r>
      <w:r>
        <w:rPr>
          <w:rFonts w:ascii="Times New Roman;Times;Serif" w:hAnsi="Times New Roman;Times;Serif"/>
          <w:b w:val="false"/>
          <w:i w:val="false"/>
          <w:caps w:val="false"/>
          <w:smallCaps w:val="false"/>
          <w:sz w:val="20"/>
        </w:rPr>
        <w:t xml:space="preserve">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val="false"/>
          <w:caps w:val="false"/>
          <w:smallCaps w:val="false"/>
          <w:sz w:val="20"/>
          <w:u w:val="single"/>
        </w:rPr>
        <w:t>Payment of Moneys Held by Paying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val="false"/>
          <w:caps w:val="false"/>
          <w:smallCaps w:val="false"/>
          <w:sz w:val="20"/>
          <w:u w:val="single"/>
        </w:rPr>
        <w:t>Repayment to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IMMUNITY OF INCORPORATORS, STOCKHOLDERS,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val="false"/>
          <w:caps w:val="false"/>
          <w:smallCaps w:val="false"/>
          <w:sz w:val="20"/>
          <w:u w:val="single"/>
        </w:rPr>
        <w:t>No Recourse.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13.01 </w:t>
      </w:r>
      <w:r>
        <w:rPr>
          <w:rFonts w:ascii="Times New Roman;Times;Serif" w:hAnsi="Times New Roman;Times;Serif"/>
          <w:b w:val="false"/>
          <w:i w:val="false"/>
          <w:caps w:val="false"/>
          <w:smallCaps w:val="false"/>
          <w:sz w:val="20"/>
          <w:u w:val="single"/>
        </w:rPr>
        <w:t>Effect on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stipulations, promises and agreements in this Indenture made by or on behalf of the Company shall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13.02 </w:t>
      </w:r>
      <w:r>
        <w:rPr>
          <w:rFonts w:ascii="Times New Roman;Times;Serif" w:hAnsi="Times New Roman;Times;Serif"/>
          <w:b w:val="false"/>
          <w:i w:val="false"/>
          <w:caps w:val="false"/>
          <w:smallCaps w:val="false"/>
          <w:sz w:val="20"/>
          <w:u w:val="single"/>
        </w:rPr>
        <w:t>Actions by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13.03 </w:t>
      </w:r>
      <w:r>
        <w:rPr>
          <w:rFonts w:ascii="Times New Roman;Times;Serif" w:hAnsi="Times New Roman;Times;Serif"/>
          <w:b w:val="false"/>
          <w:i w:val="false"/>
          <w:caps w:val="false"/>
          <w:smallCaps w:val="false"/>
          <w:sz w:val="20"/>
          <w:u w:val="single"/>
        </w:rPr>
        <w:t>Surrender of Company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13.04 </w:t>
      </w:r>
      <w:r>
        <w:rPr>
          <w:rFonts w:ascii="Times New Roman;Times;Serif" w:hAnsi="Times New Roman;Times;Serif"/>
          <w:b w:val="false"/>
          <w:i w:val="false"/>
          <w:caps w:val="false"/>
          <w:smallCaps w:val="false"/>
          <w:sz w:val="20"/>
          <w:u w:val="single"/>
        </w:rPr>
        <w:t>Notices.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 filed in writing by the Company with the Trustee), as follows: MoonLake Immunotherapeutics, Dorfstrasse 29, 6300, Zug, Switzerland.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13.05 </w:t>
      </w:r>
      <w:r>
        <w:rPr>
          <w:rFonts w:ascii="Times New Roman;Times;Serif" w:hAnsi="Times New Roman;Times;Serif"/>
          <w:b w:val="false"/>
          <w:i w:val="false"/>
          <w:caps w:val="false"/>
          <w:smallCaps w:val="false"/>
          <w:sz w:val="20"/>
          <w:u w:val="single"/>
        </w:rPr>
        <w:t>Governing Law; Jury Trial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13.06 </w:t>
      </w:r>
      <w:r>
        <w:rPr>
          <w:rFonts w:ascii="Times New Roman;Times;Serif" w:hAnsi="Times New Roman;Times;Serif"/>
          <w:b w:val="false"/>
          <w:i w:val="false"/>
          <w:caps w:val="false"/>
          <w:smallCaps w:val="false"/>
          <w:sz w:val="20"/>
          <w:u w:val="single"/>
        </w:rPr>
        <w:t>Treatment of Securities as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the Securities will be treated as indebtedness and not as equity for federal income tax purposes. The provisions of this Indenture shall be interpreted to further this intention.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13.07 </w:t>
      </w:r>
      <w:r>
        <w:rPr>
          <w:rFonts w:ascii="Times New Roman;Times;Serif" w:hAnsi="Times New Roman;Times;Serif"/>
          <w:b w:val="false"/>
          <w:i w:val="false"/>
          <w:caps w:val="false"/>
          <w:smallCaps w:val="false"/>
          <w:sz w:val="20"/>
          <w:u w:val="single"/>
        </w:rPr>
        <w:t>Certificates and Opinions as to Conditions Precedent.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 </w:t>
      </w:r>
      <w:r>
        <w:rPr>
          <w:rFonts w:ascii="Times New Roman;Times;Serif" w:hAnsi="Times New Roman;Times;Serif"/>
          <w:b w:val="false"/>
          <w:i w:val="false"/>
          <w:caps w:val="false"/>
          <w:smallCaps w:val="false"/>
          <w:sz w:val="20"/>
          <w:u w:val="single"/>
        </w:rPr>
        <w:t>Section 13.12</w:t>
      </w:r>
      <w:r>
        <w:rPr>
          <w:rFonts w:ascii="Times New Roman;Times;Serif" w:hAnsi="Times New Roman;Times;Serif"/>
          <w:b w:val="false"/>
          <w:i w:val="false"/>
          <w:caps w:val="false"/>
          <w:smallCaps w:val="false"/>
          <w:sz w:val="20"/>
        </w:rPr>
        <w:t>) relating to the proposed action have been complied with and an Opinion of Counsel stating that in the opinion of such counsel all such covenants and conditions precedent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13.08 </w:t>
      </w:r>
      <w:r>
        <w:rPr>
          <w:rFonts w:ascii="Times New Roman;Times;Serif" w:hAnsi="Times New Roman;Times;Serif"/>
          <w:b w:val="false"/>
          <w:i w:val="false"/>
          <w:caps w:val="false"/>
          <w:smallCaps w:val="false"/>
          <w:sz w:val="20"/>
          <w:u w:val="single"/>
        </w:rPr>
        <w:t>Payments on Business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provided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13.09 </w:t>
      </w:r>
      <w:r>
        <w:rPr>
          <w:rFonts w:ascii="Times New Roman;Times;Serif" w:hAnsi="Times New Roman;Times;Serif"/>
          <w:b w:val="false"/>
          <w:i w:val="false"/>
          <w:caps w:val="false"/>
          <w:smallCaps w:val="false"/>
          <w:sz w:val="20"/>
          <w:u w:val="single"/>
        </w:rPr>
        <w:t>Conflict with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provision of this Indenture limits, qualifies or conflicts with the duties imposed by Sections 310 to 317, inclusive, of the Trust Indenture Act, such imposed duties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13.10 </w:t>
      </w:r>
      <w:r>
        <w:rPr>
          <w:rFonts w:ascii="Times New Roman;Times;Serif" w:hAnsi="Times New Roman;Times;Serif"/>
          <w:b w:val="false"/>
          <w:i w:val="false"/>
          <w:caps w:val="false"/>
          <w:smallCaps w:val="false"/>
          <w:sz w:val="20"/>
          <w:u w:val="single"/>
        </w:rPr>
        <w:t>Counterparts.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13.11 </w:t>
      </w:r>
      <w:r>
        <w:rPr>
          <w:rFonts w:ascii="Times New Roman;Times;Serif" w:hAnsi="Times New Roman;Times;Serif"/>
          <w:b w:val="false"/>
          <w:i w:val="false"/>
          <w:caps w:val="false"/>
          <w:smallCaps w:val="false"/>
          <w:sz w:val="20"/>
          <w:u w:val="single"/>
        </w:rPr>
        <w:t>Separability.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13.12 </w:t>
      </w:r>
      <w:r>
        <w:rPr>
          <w:rFonts w:ascii="Times New Roman;Times;Serif" w:hAnsi="Times New Roman;Times;Serif"/>
          <w:b w:val="false"/>
          <w:i w:val="false"/>
          <w:caps w:val="false"/>
          <w:smallCaps w:val="false"/>
          <w:sz w:val="20"/>
          <w:u w:val="single"/>
        </w:rPr>
        <w:t>Compliance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w:t>
      </w:r>
      <w:r>
        <w:rPr>
          <w:rFonts w:ascii="Times New Roman;Times;Serif" w:hAnsi="Times New Roman;Times;Serif"/>
          <w:b w:val="false"/>
          <w:i w:val="false"/>
          <w:caps w:val="false"/>
          <w:smallCaps w:val="false"/>
          <w:sz w:val="20"/>
          <w:u w:val="single"/>
        </w:rPr>
        <w:t>Section 13.12</w:t>
      </w:r>
      <w:r>
        <w:rPr>
          <w:rFonts w:ascii="Times New Roman;Times;Serif" w:hAnsi="Times New Roman;Times;Serif"/>
          <w:b w:val="false"/>
          <w:i w:val="false"/>
          <w:caps w:val="false"/>
          <w:smallCaps w:val="false"/>
          <w:sz w:val="20"/>
        </w:rPr>
        <w:t>,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13.13 </w:t>
      </w:r>
      <w:r>
        <w:rPr>
          <w:rFonts w:ascii="Times New Roman;Times;Serif" w:hAnsi="Times New Roman;Times;Serif"/>
          <w:b w:val="false"/>
          <w:i w:val="false"/>
          <w:caps w:val="false"/>
          <w:smallCaps w:val="false"/>
          <w:sz w:val="20"/>
          <w:u w:val="single"/>
        </w:rPr>
        <w:t>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13.14 Calculations.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neither the Trustee nor the paying agent shall have any responsibility for any calculations hereunder and shall be entitled to conclusively rely on the calculations of the Company without any independent verification or investigation.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Indenture to be duly executed all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4474" w:type="dxa"/>
        <w:jc w:val="left"/>
        <w:tblInd w:w="0" w:type="dxa"/>
        <w:tblLayout w:type="fixed"/>
        <w:tblCellMar>
          <w:top w:w="0" w:type="dxa"/>
          <w:left w:w="0" w:type="dxa"/>
          <w:bottom w:w="0" w:type="dxa"/>
          <w:right w:w="0" w:type="dxa"/>
        </w:tblCellMar>
      </w:tblPr>
      <w:tblGrid>
        <w:gridCol w:w="885"/>
        <w:gridCol w:w="3514"/>
        <w:gridCol w:w="75"/>
      </w:tblGrid>
      <w:tr>
        <w:trPr/>
        <w:tc>
          <w:tcPr>
            <w:tcW w:w="4399" w:type="dxa"/>
            <w:gridSpan w:val="2"/>
            <w:tcBorders/>
            <w:vAlign w:val="center"/>
          </w:tcPr>
          <w:p>
            <w:pPr>
              <w:pStyle w:val="TableContents"/>
              <w:bidi w:val="0"/>
              <w:spacing w:before="0" w:after="283"/>
              <w:jc w:val="left"/>
              <w:rPr>
                <w:sz w:val="20"/>
              </w:rPr>
            </w:pPr>
            <w:r>
              <w:rPr>
                <w:b/>
                <w:sz w:val="20"/>
              </w:rPr>
              <w:t>MOONLAKE IMMUNOTHERAPEUTICS,</w:t>
            </w:r>
            <w:r>
              <w:rPr>
                <w:sz w:val="20"/>
              </w:rPr>
              <w:t xml:space="preserve"> as Issuer</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t> </w:t>
            </w:r>
          </w:p>
        </w:tc>
        <w:tc>
          <w:tcPr>
            <w:tcW w:w="3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sz w:val="20"/>
              </w:rPr>
            </w:pPr>
            <w:r>
              <w:rPr>
                <w:sz w:val="20"/>
              </w:rPr>
              <w:t>By:</w:t>
            </w:r>
          </w:p>
        </w:tc>
        <w:tc>
          <w:tcPr>
            <w:tcW w:w="3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t> </w:t>
            </w:r>
          </w:p>
        </w:tc>
        <w:tc>
          <w:tcPr>
            <w:tcW w:w="3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sz w:val="20"/>
              </w:rPr>
            </w:pPr>
            <w:r>
              <w:rPr>
                <w:sz w:val="20"/>
              </w:rPr>
              <w:t>Name: </w:t>
            </w:r>
          </w:p>
        </w:tc>
        <w:tc>
          <w:tcPr>
            <w:tcW w:w="3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t> </w:t>
            </w:r>
          </w:p>
        </w:tc>
        <w:tc>
          <w:tcPr>
            <w:tcW w:w="3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sz w:val="20"/>
              </w:rPr>
            </w:pPr>
            <w:r>
              <w:rPr>
                <w:sz w:val="20"/>
              </w:rPr>
              <w:t>Title:</w:t>
            </w:r>
          </w:p>
        </w:tc>
        <w:tc>
          <w:tcPr>
            <w:tcW w:w="3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t> </w:t>
            </w:r>
          </w:p>
        </w:tc>
        <w:tc>
          <w:tcPr>
            <w:tcW w:w="3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99" w:type="dxa"/>
            <w:gridSpan w:val="2"/>
            <w:tcBorders/>
            <w:vAlign w:val="center"/>
          </w:tcPr>
          <w:p>
            <w:pPr>
              <w:pStyle w:val="TableContents"/>
              <w:bidi w:val="0"/>
              <w:spacing w:before="0" w:after="283"/>
              <w:jc w:val="left"/>
              <w:rPr>
                <w:sz w:val="20"/>
              </w:rPr>
            </w:pPr>
            <w:r>
              <w:rPr>
                <w:b/>
                <w:sz w:val="20"/>
              </w:rPr>
              <w:t>[TRUSTEE],</w:t>
            </w:r>
            <w:r>
              <w:rPr>
                <w:sz w:val="20"/>
              </w:rPr>
              <w:t xml:space="preserve"> as Trustee</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t> </w:t>
            </w:r>
          </w:p>
        </w:tc>
        <w:tc>
          <w:tcPr>
            <w:tcW w:w="3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sz w:val="20"/>
              </w:rPr>
            </w:pPr>
            <w:r>
              <w:rPr>
                <w:sz w:val="20"/>
              </w:rPr>
              <w:t>By:</w:t>
            </w:r>
          </w:p>
        </w:tc>
        <w:tc>
          <w:tcPr>
            <w:tcW w:w="3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t> </w:t>
            </w:r>
          </w:p>
        </w:tc>
        <w:tc>
          <w:tcPr>
            <w:tcW w:w="3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sz w:val="20"/>
              </w:rPr>
            </w:pPr>
            <w:r>
              <w:rPr>
                <w:sz w:val="20"/>
              </w:rPr>
              <w:t>Name:</w:t>
            </w:r>
          </w:p>
        </w:tc>
        <w:tc>
          <w:tcPr>
            <w:tcW w:w="3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t> </w:t>
            </w:r>
          </w:p>
        </w:tc>
        <w:tc>
          <w:tcPr>
            <w:tcW w:w="3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sz w:val="20"/>
              </w:rPr>
            </w:pPr>
            <w:r>
              <w:rPr>
                <w:sz w:val="20"/>
              </w:rPr>
              <w:t>Title:</w:t>
            </w:r>
          </w:p>
        </w:tc>
        <w:tc>
          <w:tcPr>
            <w:tcW w:w="3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Form of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 INDENTURE ACT CROSS-REFERENCE TABLE</w:t>
      </w:r>
      <w:r>
        <w:rPr>
          <w:rFonts w:ascii="Times New Roman;Times;Serif" w:hAnsi="Times New Roman;Times;Serif"/>
          <w:b/>
          <w:i w:val="false"/>
          <w:caps w:val="false"/>
          <w:smallCaps w:val="false"/>
          <w:position w:val="7"/>
          <w:sz w:val="16"/>
          <w:sz w:val="20"/>
        </w:rPr>
        <w:t>2</w:t>
      </w:r>
    </w:p>
    <w:p>
      <w:pPr>
        <w:pStyle w:val="TextBody"/>
        <w:bidi w:val="0"/>
        <w:spacing w:before="0" w:after="0"/>
        <w:jc w:val="center"/>
        <w:rPr>
          <w:caps w:val="false"/>
          <w:smallCaps w:val="false"/>
        </w:rPr>
      </w:pPr>
      <w:r>
        <w:rPr>
          <w:caps w:val="false"/>
          <w:smallCaps w:val="false"/>
        </w:rPr>
        <w:t> </w:t>
      </w:r>
    </w:p>
    <w:tbl>
      <w:tblPr>
        <w:tblW w:w="7435" w:type="dxa"/>
        <w:jc w:val="left"/>
        <w:tblInd w:w="0" w:type="dxa"/>
        <w:tblLayout w:type="fixed"/>
        <w:tblCellMar>
          <w:top w:w="0" w:type="dxa"/>
          <w:left w:w="0" w:type="dxa"/>
          <w:bottom w:w="28" w:type="dxa"/>
          <w:right w:w="0" w:type="dxa"/>
        </w:tblCellMar>
      </w:tblPr>
      <w:tblGrid>
        <w:gridCol w:w="5270"/>
        <w:gridCol w:w="60"/>
        <w:gridCol w:w="2105"/>
      </w:tblGrid>
      <w:tr>
        <w:trPr/>
        <w:tc>
          <w:tcPr>
            <w:tcW w:w="5270" w:type="dxa"/>
            <w:tcBorders>
              <w:bottom w:val="single" w:sz="12" w:space="0" w:color="000000"/>
            </w:tcBorders>
            <w:vAlign w:val="center"/>
          </w:tcPr>
          <w:p>
            <w:pPr>
              <w:pStyle w:val="TableContents"/>
              <w:bidi w:val="0"/>
              <w:spacing w:before="0" w:after="283"/>
              <w:jc w:val="left"/>
              <w:rPr>
                <w:b/>
              </w:rPr>
            </w:pPr>
            <w:r>
              <w:rPr>
                <w:b/>
              </w:rPr>
              <w:t>Section of Trust Indenture Act of 1939, as amended</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12" w:space="0" w:color="000000"/>
            </w:tcBorders>
            <w:vAlign w:val="center"/>
          </w:tcPr>
          <w:p>
            <w:pPr>
              <w:pStyle w:val="TableContents"/>
              <w:bidi w:val="0"/>
              <w:spacing w:before="0" w:after="283"/>
              <w:jc w:val="center"/>
              <w:rPr>
                <w:b/>
              </w:rPr>
            </w:pPr>
            <w:r>
              <w:rPr>
                <w:b/>
              </w:rPr>
              <w:t>Section of Indenture</w:t>
            </w:r>
          </w:p>
        </w:tc>
      </w:tr>
      <w:tr>
        <w:trPr/>
        <w:tc>
          <w:tcPr>
            <w:tcW w:w="5270" w:type="dxa"/>
            <w:tcBorders/>
            <w:shd w:fill="CCEEFF" w:val="clear"/>
            <w:tcMar>
              <w:bottom w:w="0" w:type="dxa"/>
            </w:tcMar>
            <w:vAlign w:val="center"/>
          </w:tcPr>
          <w:p>
            <w:pPr>
              <w:pStyle w:val="TableContents"/>
              <w:bidi w:val="0"/>
              <w:spacing w:before="0" w:after="283"/>
              <w:jc w:val="left"/>
              <w:rPr/>
            </w:pPr>
            <w:r>
              <w:rPr/>
              <w:t>310(a)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7.09</w:t>
            </w:r>
          </w:p>
        </w:tc>
      </w:tr>
      <w:tr>
        <w:trPr/>
        <w:tc>
          <w:tcPr>
            <w:tcW w:w="5270" w:type="dxa"/>
            <w:tcBorders/>
            <w:shd w:fill="FFFFFF" w:val="clear"/>
            <w:tcMar>
              <w:bottom w:w="0" w:type="dxa"/>
            </w:tcMar>
            <w:vAlign w:val="center"/>
          </w:tcPr>
          <w:p>
            <w:pPr>
              <w:pStyle w:val="TableContents"/>
              <w:bidi w:val="0"/>
              <w:spacing w:before="0" w:after="283"/>
              <w:jc w:val="left"/>
              <w:rPr/>
            </w:pPr>
            <w:r>
              <w:rPr/>
              <w:t>310(b)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7.08</w:t>
            </w:r>
          </w:p>
        </w:tc>
      </w:tr>
      <w:tr>
        <w:trPr/>
        <w:tc>
          <w:tcPr>
            <w:tcW w:w="52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7.10</w:t>
            </w:r>
          </w:p>
        </w:tc>
      </w:tr>
      <w:tr>
        <w:trPr/>
        <w:tc>
          <w:tcPr>
            <w:tcW w:w="5270" w:type="dxa"/>
            <w:tcBorders/>
            <w:shd w:fill="FFFFFF" w:val="clear"/>
            <w:tcMar>
              <w:bottom w:w="0" w:type="dxa"/>
            </w:tcMar>
            <w:vAlign w:val="center"/>
          </w:tcPr>
          <w:p>
            <w:pPr>
              <w:pStyle w:val="TableContents"/>
              <w:bidi w:val="0"/>
              <w:spacing w:before="0" w:after="283"/>
              <w:jc w:val="left"/>
              <w:rPr/>
            </w:pPr>
            <w:r>
              <w:rPr/>
              <w:t>310(c)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Inapplicable</w:t>
            </w:r>
          </w:p>
        </w:tc>
      </w:tr>
      <w:tr>
        <w:trPr/>
        <w:tc>
          <w:tcPr>
            <w:tcW w:w="5270" w:type="dxa"/>
            <w:tcBorders/>
            <w:shd w:fill="CCEEFF" w:val="clear"/>
            <w:tcMar>
              <w:bottom w:w="0" w:type="dxa"/>
            </w:tcMar>
            <w:vAlign w:val="center"/>
          </w:tcPr>
          <w:p>
            <w:pPr>
              <w:pStyle w:val="TableContents"/>
              <w:bidi w:val="0"/>
              <w:spacing w:before="0" w:after="283"/>
              <w:jc w:val="left"/>
              <w:rPr/>
            </w:pPr>
            <w:r>
              <w:rPr/>
              <w:t>311(a)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7.13</w:t>
            </w:r>
          </w:p>
        </w:tc>
      </w:tr>
      <w:tr>
        <w:trPr/>
        <w:tc>
          <w:tcPr>
            <w:tcW w:w="5270" w:type="dxa"/>
            <w:tcBorders/>
            <w:shd w:fill="FFFFFF" w:val="clear"/>
            <w:tcMar>
              <w:bottom w:w="0" w:type="dxa"/>
            </w:tcMar>
            <w:vAlign w:val="center"/>
          </w:tcPr>
          <w:p>
            <w:pPr>
              <w:pStyle w:val="TableContents"/>
              <w:bidi w:val="0"/>
              <w:spacing w:before="0" w:after="283"/>
              <w:jc w:val="left"/>
              <w:rPr/>
            </w:pPr>
            <w:r>
              <w:rPr/>
              <w:t>311(b)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7.13</w:t>
            </w:r>
          </w:p>
        </w:tc>
      </w:tr>
      <w:tr>
        <w:trPr/>
        <w:tc>
          <w:tcPr>
            <w:tcW w:w="5270" w:type="dxa"/>
            <w:tcBorders/>
            <w:shd w:fill="CCEEFF" w:val="clear"/>
            <w:tcMar>
              <w:bottom w:w="0" w:type="dxa"/>
            </w:tcMar>
            <w:vAlign w:val="center"/>
          </w:tcPr>
          <w:p>
            <w:pPr>
              <w:pStyle w:val="TableContents"/>
              <w:bidi w:val="0"/>
              <w:spacing w:before="0" w:after="283"/>
              <w:jc w:val="left"/>
              <w:rPr/>
            </w:pPr>
            <w:r>
              <w:rPr/>
              <w:t>311(c)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Inapplicable</w:t>
            </w:r>
          </w:p>
        </w:tc>
      </w:tr>
      <w:tr>
        <w:trPr/>
        <w:tc>
          <w:tcPr>
            <w:tcW w:w="5270" w:type="dxa"/>
            <w:tcBorders/>
            <w:shd w:fill="FFFFFF" w:val="clear"/>
            <w:tcMar>
              <w:bottom w:w="0" w:type="dxa"/>
            </w:tcMar>
            <w:vAlign w:val="center"/>
          </w:tcPr>
          <w:p>
            <w:pPr>
              <w:pStyle w:val="TableContents"/>
              <w:bidi w:val="0"/>
              <w:spacing w:before="0" w:after="283"/>
              <w:jc w:val="left"/>
              <w:rPr/>
            </w:pPr>
            <w:r>
              <w:rPr/>
              <w:t>312(a)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5.01</w:t>
            </w:r>
          </w:p>
        </w:tc>
      </w:tr>
      <w:tr>
        <w:trPr/>
        <w:tc>
          <w:tcPr>
            <w:tcW w:w="52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5.02(a)</w:t>
            </w:r>
          </w:p>
        </w:tc>
      </w:tr>
      <w:tr>
        <w:trPr/>
        <w:tc>
          <w:tcPr>
            <w:tcW w:w="5270" w:type="dxa"/>
            <w:tcBorders/>
            <w:shd w:fill="FFFFFF" w:val="clear"/>
            <w:tcMar>
              <w:bottom w:w="0" w:type="dxa"/>
            </w:tcMar>
            <w:vAlign w:val="center"/>
          </w:tcPr>
          <w:p>
            <w:pPr>
              <w:pStyle w:val="TableContents"/>
              <w:bidi w:val="0"/>
              <w:spacing w:before="0" w:after="283"/>
              <w:jc w:val="left"/>
              <w:rPr/>
            </w:pPr>
            <w:r>
              <w:rPr/>
              <w:t>312(b)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5.02(c)</w:t>
            </w:r>
          </w:p>
        </w:tc>
      </w:tr>
      <w:tr>
        <w:trPr/>
        <w:tc>
          <w:tcPr>
            <w:tcW w:w="5270" w:type="dxa"/>
            <w:tcBorders/>
            <w:shd w:fill="CCEEFF" w:val="clear"/>
            <w:tcMar>
              <w:bottom w:w="0" w:type="dxa"/>
            </w:tcMar>
            <w:vAlign w:val="center"/>
          </w:tcPr>
          <w:p>
            <w:pPr>
              <w:pStyle w:val="TableContents"/>
              <w:bidi w:val="0"/>
              <w:spacing w:before="0" w:after="283"/>
              <w:jc w:val="left"/>
              <w:rPr/>
            </w:pPr>
            <w:r>
              <w:rPr/>
              <w:t>312(c)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5.02(c)</w:t>
            </w:r>
          </w:p>
        </w:tc>
      </w:tr>
      <w:tr>
        <w:trPr/>
        <w:tc>
          <w:tcPr>
            <w:tcW w:w="5270" w:type="dxa"/>
            <w:tcBorders/>
            <w:shd w:fill="FFFFFF" w:val="clear"/>
            <w:tcMar>
              <w:bottom w:w="0" w:type="dxa"/>
            </w:tcMar>
            <w:vAlign w:val="center"/>
          </w:tcPr>
          <w:p>
            <w:pPr>
              <w:pStyle w:val="TableContents"/>
              <w:bidi w:val="0"/>
              <w:spacing w:before="0" w:after="283"/>
              <w:jc w:val="left"/>
              <w:rPr/>
            </w:pPr>
            <w:r>
              <w:rPr/>
              <w:t>313(a)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5.04(a)</w:t>
            </w:r>
          </w:p>
        </w:tc>
      </w:tr>
      <w:tr>
        <w:trPr/>
        <w:tc>
          <w:tcPr>
            <w:tcW w:w="5270" w:type="dxa"/>
            <w:tcBorders/>
            <w:shd w:fill="CCEEFF" w:val="clear"/>
            <w:tcMar>
              <w:bottom w:w="0" w:type="dxa"/>
            </w:tcMar>
            <w:vAlign w:val="center"/>
          </w:tcPr>
          <w:p>
            <w:pPr>
              <w:pStyle w:val="TableContents"/>
              <w:bidi w:val="0"/>
              <w:spacing w:before="0" w:after="283"/>
              <w:jc w:val="left"/>
              <w:rPr/>
            </w:pPr>
            <w:r>
              <w:rPr/>
              <w:t>313(b)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5.04(b)</w:t>
            </w:r>
          </w:p>
        </w:tc>
      </w:tr>
      <w:tr>
        <w:trPr/>
        <w:tc>
          <w:tcPr>
            <w:tcW w:w="5270" w:type="dxa"/>
            <w:tcBorders/>
            <w:shd w:fill="FFFFFF" w:val="clear"/>
            <w:tcMar>
              <w:bottom w:w="0" w:type="dxa"/>
            </w:tcMar>
            <w:vAlign w:val="center"/>
          </w:tcPr>
          <w:p>
            <w:pPr>
              <w:pStyle w:val="TableContents"/>
              <w:bidi w:val="0"/>
              <w:spacing w:before="0" w:after="283"/>
              <w:jc w:val="left"/>
              <w:rPr/>
            </w:pPr>
            <w:r>
              <w:rPr/>
              <w:t>313(c)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5.04(a)</w:t>
            </w:r>
          </w:p>
        </w:tc>
      </w:tr>
      <w:tr>
        <w:trPr/>
        <w:tc>
          <w:tcPr>
            <w:tcW w:w="52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5.04(b)</w:t>
            </w:r>
          </w:p>
        </w:tc>
      </w:tr>
      <w:tr>
        <w:trPr/>
        <w:tc>
          <w:tcPr>
            <w:tcW w:w="5270" w:type="dxa"/>
            <w:tcBorders/>
            <w:shd w:fill="FFFFFF" w:val="clear"/>
            <w:tcMar>
              <w:bottom w:w="0" w:type="dxa"/>
            </w:tcMar>
            <w:vAlign w:val="center"/>
          </w:tcPr>
          <w:p>
            <w:pPr>
              <w:pStyle w:val="TableContents"/>
              <w:bidi w:val="0"/>
              <w:spacing w:before="0" w:after="283"/>
              <w:jc w:val="left"/>
              <w:rPr/>
            </w:pPr>
            <w:r>
              <w:rPr/>
              <w:t>313(d)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5.04(c)</w:t>
            </w:r>
          </w:p>
        </w:tc>
      </w:tr>
      <w:tr>
        <w:trPr/>
        <w:tc>
          <w:tcPr>
            <w:tcW w:w="5270" w:type="dxa"/>
            <w:tcBorders/>
            <w:shd w:fill="CCEEFF" w:val="clear"/>
            <w:tcMar>
              <w:bottom w:w="0" w:type="dxa"/>
            </w:tcMar>
            <w:vAlign w:val="center"/>
          </w:tcPr>
          <w:p>
            <w:pPr>
              <w:pStyle w:val="TableContents"/>
              <w:bidi w:val="0"/>
              <w:spacing w:before="0" w:after="283"/>
              <w:jc w:val="left"/>
              <w:rPr/>
            </w:pPr>
            <w:r>
              <w:rPr/>
              <w:t>314(a)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5.03</w:t>
            </w:r>
          </w:p>
        </w:tc>
      </w:tr>
      <w:tr>
        <w:trPr/>
        <w:tc>
          <w:tcPr>
            <w:tcW w:w="52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13.12</w:t>
            </w:r>
          </w:p>
        </w:tc>
      </w:tr>
      <w:tr>
        <w:trPr/>
        <w:tc>
          <w:tcPr>
            <w:tcW w:w="5270" w:type="dxa"/>
            <w:tcBorders/>
            <w:shd w:fill="CCEEFF" w:val="clear"/>
            <w:tcMar>
              <w:bottom w:w="0" w:type="dxa"/>
            </w:tcMar>
            <w:vAlign w:val="center"/>
          </w:tcPr>
          <w:p>
            <w:pPr>
              <w:pStyle w:val="TableContents"/>
              <w:bidi w:val="0"/>
              <w:spacing w:before="0" w:after="283"/>
              <w:jc w:val="left"/>
              <w:rPr/>
            </w:pPr>
            <w:r>
              <w:rPr/>
              <w:t>314(b)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Inapplicable</w:t>
            </w:r>
          </w:p>
        </w:tc>
      </w:tr>
      <w:tr>
        <w:trPr/>
        <w:tc>
          <w:tcPr>
            <w:tcW w:w="5270" w:type="dxa"/>
            <w:tcBorders/>
            <w:shd w:fill="FFFFFF" w:val="clear"/>
            <w:tcMar>
              <w:bottom w:w="0" w:type="dxa"/>
            </w:tcMar>
            <w:vAlign w:val="center"/>
          </w:tcPr>
          <w:p>
            <w:pPr>
              <w:pStyle w:val="TableContents"/>
              <w:bidi w:val="0"/>
              <w:spacing w:before="0" w:after="283"/>
              <w:jc w:val="left"/>
              <w:rPr/>
            </w:pPr>
            <w:r>
              <w:rPr/>
              <w:t>314(c)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13.07(a)</w:t>
            </w:r>
          </w:p>
        </w:tc>
      </w:tr>
      <w:tr>
        <w:trPr/>
        <w:tc>
          <w:tcPr>
            <w:tcW w:w="5270" w:type="dxa"/>
            <w:tcBorders/>
            <w:shd w:fill="CCEEFF" w:val="clear"/>
            <w:tcMar>
              <w:bottom w:w="0" w:type="dxa"/>
            </w:tcMar>
            <w:vAlign w:val="center"/>
          </w:tcPr>
          <w:p>
            <w:pPr>
              <w:pStyle w:val="TableContents"/>
              <w:bidi w:val="0"/>
              <w:spacing w:before="0" w:after="283"/>
              <w:jc w:val="left"/>
              <w:rPr/>
            </w:pPr>
            <w:r>
              <w:rPr/>
              <w:t>314(d)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Inapplicable</w:t>
            </w:r>
          </w:p>
        </w:tc>
      </w:tr>
      <w:tr>
        <w:trPr/>
        <w:tc>
          <w:tcPr>
            <w:tcW w:w="5270" w:type="dxa"/>
            <w:tcBorders/>
            <w:shd w:fill="FFFFFF" w:val="clear"/>
            <w:tcMar>
              <w:bottom w:w="0" w:type="dxa"/>
            </w:tcMar>
            <w:vAlign w:val="center"/>
          </w:tcPr>
          <w:p>
            <w:pPr>
              <w:pStyle w:val="TableContents"/>
              <w:bidi w:val="0"/>
              <w:spacing w:before="0" w:after="283"/>
              <w:jc w:val="left"/>
              <w:rPr/>
            </w:pPr>
            <w:r>
              <w:rPr/>
              <w:t>314(e)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13.07(b)</w:t>
            </w:r>
          </w:p>
        </w:tc>
      </w:tr>
      <w:tr>
        <w:trPr/>
        <w:tc>
          <w:tcPr>
            <w:tcW w:w="5270" w:type="dxa"/>
            <w:tcBorders/>
            <w:shd w:fill="CCEEFF" w:val="clear"/>
            <w:tcMar>
              <w:bottom w:w="0" w:type="dxa"/>
            </w:tcMar>
            <w:vAlign w:val="center"/>
          </w:tcPr>
          <w:p>
            <w:pPr>
              <w:pStyle w:val="TableContents"/>
              <w:bidi w:val="0"/>
              <w:spacing w:before="0" w:after="283"/>
              <w:jc w:val="left"/>
              <w:rPr/>
            </w:pPr>
            <w:r>
              <w:rPr/>
              <w:t>314(f)</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Inapplicable</w:t>
            </w:r>
          </w:p>
        </w:tc>
      </w:tr>
      <w:tr>
        <w:trPr/>
        <w:tc>
          <w:tcPr>
            <w:tcW w:w="5270" w:type="dxa"/>
            <w:tcBorders/>
            <w:shd w:fill="FFFFFF" w:val="clear"/>
            <w:tcMar>
              <w:bottom w:w="0" w:type="dxa"/>
            </w:tcMar>
            <w:vAlign w:val="center"/>
          </w:tcPr>
          <w:p>
            <w:pPr>
              <w:pStyle w:val="TableContents"/>
              <w:bidi w:val="0"/>
              <w:spacing w:before="0" w:after="283"/>
              <w:jc w:val="left"/>
              <w:rPr/>
            </w:pPr>
            <w:r>
              <w:rPr/>
              <w:t>315(a)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7.01(a)</w:t>
            </w:r>
          </w:p>
        </w:tc>
      </w:tr>
      <w:tr>
        <w:trPr/>
        <w:tc>
          <w:tcPr>
            <w:tcW w:w="52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7.01(b)</w:t>
            </w:r>
          </w:p>
        </w:tc>
      </w:tr>
      <w:tr>
        <w:trPr/>
        <w:tc>
          <w:tcPr>
            <w:tcW w:w="5270" w:type="dxa"/>
            <w:tcBorders/>
            <w:shd w:fill="FFFFFF" w:val="clear"/>
            <w:tcMar>
              <w:bottom w:w="0" w:type="dxa"/>
            </w:tcMar>
            <w:vAlign w:val="center"/>
          </w:tcPr>
          <w:p>
            <w:pPr>
              <w:pStyle w:val="TableContents"/>
              <w:bidi w:val="0"/>
              <w:spacing w:before="0" w:after="283"/>
              <w:jc w:val="left"/>
              <w:rPr/>
            </w:pPr>
            <w:r>
              <w:rPr/>
              <w:t>315(b)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7.14</w:t>
            </w:r>
          </w:p>
        </w:tc>
      </w:tr>
      <w:tr>
        <w:trPr/>
        <w:tc>
          <w:tcPr>
            <w:tcW w:w="5270" w:type="dxa"/>
            <w:tcBorders/>
            <w:shd w:fill="CCEEFF" w:val="clear"/>
            <w:tcMar>
              <w:bottom w:w="0" w:type="dxa"/>
            </w:tcMar>
            <w:vAlign w:val="center"/>
          </w:tcPr>
          <w:p>
            <w:pPr>
              <w:pStyle w:val="TableContents"/>
              <w:bidi w:val="0"/>
              <w:spacing w:before="0" w:after="283"/>
              <w:jc w:val="left"/>
              <w:rPr/>
            </w:pPr>
            <w:r>
              <w:rPr/>
              <w:t>315(c)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7.01(a)</w:t>
            </w:r>
          </w:p>
        </w:tc>
      </w:tr>
      <w:tr>
        <w:trPr/>
        <w:tc>
          <w:tcPr>
            <w:tcW w:w="5270" w:type="dxa"/>
            <w:tcBorders/>
            <w:shd w:fill="FFFFFF" w:val="clear"/>
            <w:tcMar>
              <w:bottom w:w="0" w:type="dxa"/>
            </w:tcMar>
            <w:vAlign w:val="center"/>
          </w:tcPr>
          <w:p>
            <w:pPr>
              <w:pStyle w:val="TableContents"/>
              <w:bidi w:val="0"/>
              <w:spacing w:before="0" w:after="283"/>
              <w:jc w:val="left"/>
              <w:rPr/>
            </w:pPr>
            <w:r>
              <w:rPr/>
              <w:t>315(d)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7.01(b)</w:t>
            </w:r>
          </w:p>
        </w:tc>
      </w:tr>
      <w:tr>
        <w:trPr/>
        <w:tc>
          <w:tcPr>
            <w:tcW w:w="5270" w:type="dxa"/>
            <w:tcBorders/>
            <w:shd w:fill="CCEEFF" w:val="clear"/>
            <w:tcMar>
              <w:bottom w:w="0" w:type="dxa"/>
            </w:tcMar>
            <w:vAlign w:val="center"/>
          </w:tcPr>
          <w:p>
            <w:pPr>
              <w:pStyle w:val="TableContents"/>
              <w:bidi w:val="0"/>
              <w:spacing w:before="0" w:after="283"/>
              <w:jc w:val="left"/>
              <w:rPr/>
            </w:pPr>
            <w:r>
              <w:rPr/>
              <w:t>315(e)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6.07</w:t>
            </w:r>
          </w:p>
        </w:tc>
      </w:tr>
      <w:tr>
        <w:trPr/>
        <w:tc>
          <w:tcPr>
            <w:tcW w:w="5270" w:type="dxa"/>
            <w:tcBorders/>
            <w:shd w:fill="FFFFFF" w:val="clear"/>
            <w:tcMar>
              <w:bottom w:w="0" w:type="dxa"/>
            </w:tcMar>
            <w:vAlign w:val="center"/>
          </w:tcPr>
          <w:p>
            <w:pPr>
              <w:pStyle w:val="TableContents"/>
              <w:bidi w:val="0"/>
              <w:spacing w:before="0" w:after="283"/>
              <w:jc w:val="left"/>
              <w:rPr/>
            </w:pPr>
            <w:r>
              <w:rPr/>
              <w:t>316(a)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6.06</w:t>
            </w:r>
          </w:p>
        </w:tc>
      </w:tr>
      <w:tr>
        <w:trPr/>
        <w:tc>
          <w:tcPr>
            <w:tcW w:w="52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8.04</w:t>
            </w:r>
          </w:p>
        </w:tc>
      </w:tr>
      <w:tr>
        <w:trPr/>
        <w:tc>
          <w:tcPr>
            <w:tcW w:w="5270" w:type="dxa"/>
            <w:tcBorders/>
            <w:shd w:fill="FFFFFF" w:val="clear"/>
            <w:tcMar>
              <w:bottom w:w="0" w:type="dxa"/>
            </w:tcMar>
            <w:vAlign w:val="center"/>
          </w:tcPr>
          <w:p>
            <w:pPr>
              <w:pStyle w:val="TableContents"/>
              <w:bidi w:val="0"/>
              <w:spacing w:before="0" w:after="283"/>
              <w:jc w:val="left"/>
              <w:rPr/>
            </w:pPr>
            <w:r>
              <w:rPr/>
              <w:t>316(b)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6.04</w:t>
            </w:r>
          </w:p>
        </w:tc>
      </w:tr>
      <w:tr>
        <w:trPr/>
        <w:tc>
          <w:tcPr>
            <w:tcW w:w="5270" w:type="dxa"/>
            <w:tcBorders/>
            <w:shd w:fill="CCEEFF" w:val="clear"/>
            <w:tcMar>
              <w:bottom w:w="0" w:type="dxa"/>
            </w:tcMar>
            <w:vAlign w:val="center"/>
          </w:tcPr>
          <w:p>
            <w:pPr>
              <w:pStyle w:val="TableContents"/>
              <w:bidi w:val="0"/>
              <w:spacing w:before="0" w:after="283"/>
              <w:jc w:val="left"/>
              <w:rPr/>
            </w:pPr>
            <w:r>
              <w:rPr/>
              <w:t>316(c)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8.01</w:t>
            </w:r>
          </w:p>
        </w:tc>
      </w:tr>
      <w:tr>
        <w:trPr/>
        <w:tc>
          <w:tcPr>
            <w:tcW w:w="5270" w:type="dxa"/>
            <w:tcBorders/>
            <w:shd w:fill="FFFFFF" w:val="clear"/>
            <w:tcMar>
              <w:bottom w:w="0" w:type="dxa"/>
            </w:tcMar>
            <w:vAlign w:val="center"/>
          </w:tcPr>
          <w:p>
            <w:pPr>
              <w:pStyle w:val="TableContents"/>
              <w:bidi w:val="0"/>
              <w:spacing w:before="0" w:after="283"/>
              <w:jc w:val="left"/>
              <w:rPr/>
            </w:pPr>
            <w:r>
              <w:rPr/>
              <w:t>317(a)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6.02</w:t>
            </w:r>
          </w:p>
        </w:tc>
      </w:tr>
      <w:tr>
        <w:trPr/>
        <w:tc>
          <w:tcPr>
            <w:tcW w:w="5270" w:type="dxa"/>
            <w:tcBorders/>
            <w:shd w:fill="CCEEFF" w:val="clear"/>
            <w:tcMar>
              <w:bottom w:w="0" w:type="dxa"/>
            </w:tcMar>
            <w:vAlign w:val="center"/>
          </w:tcPr>
          <w:p>
            <w:pPr>
              <w:pStyle w:val="TableContents"/>
              <w:bidi w:val="0"/>
              <w:spacing w:before="0" w:after="283"/>
              <w:jc w:val="left"/>
              <w:rPr/>
            </w:pPr>
            <w:r>
              <w:rPr/>
              <w:t>317(b)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4.03</w:t>
            </w:r>
          </w:p>
        </w:tc>
      </w:tr>
      <w:tr>
        <w:trPr/>
        <w:tc>
          <w:tcPr>
            <w:tcW w:w="5270" w:type="dxa"/>
            <w:tcBorders/>
            <w:shd w:fill="FFFFFF" w:val="clear"/>
            <w:tcMar>
              <w:bottom w:w="0" w:type="dxa"/>
            </w:tcMar>
            <w:vAlign w:val="center"/>
          </w:tcPr>
          <w:p>
            <w:pPr>
              <w:pStyle w:val="TableContents"/>
              <w:bidi w:val="0"/>
              <w:spacing w:before="0" w:after="283"/>
              <w:jc w:val="left"/>
              <w:rPr/>
            </w:pPr>
            <w:r>
              <w:rPr/>
              <w:t>318(a)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13.09</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w:t>
            </w:r>
          </w:p>
        </w:tc>
        <w:tc>
          <w:tcPr>
            <w:tcW w:w="100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Cross-Reference Table does not constitute part of the Indenture and shall not have any bearing on the interpretation of any of its terms or provisions.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rFonts w:ascii="Times New Roman;Times;Serif" w:hAnsi="Times New Roman;Times;Serif"/>
          <w:b/>
        </w:rPr>
      </w:pPr>
      <w:bookmarkStart w:id="34" w:name="ea030102401ex4-2.htm"/>
      <w:bookmarkStart w:id="35" w:name="ksea030102401ex42"/>
      <w:bookmarkEnd w:id="34"/>
      <w:bookmarkEnd w:id="35"/>
      <w:r>
        <w:rPr>
          <w:rFonts w:ascii="Times New Roman;Times;Serif" w:hAnsi="Times New Roman;Times;Serif"/>
          <w:b/>
        </w:rPr>
        <w:t>Exhibit 4.2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IMMUNOTHERAPEUTICS,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 202[●]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1"/>
        <w:gridCol w:w="8248"/>
        <w:gridCol w:w="276"/>
      </w:tblGrid>
      <w:tr>
        <w:trPr/>
        <w:tc>
          <w:tcPr>
            <w:tcW w:w="9929" w:type="dxa"/>
            <w:gridSpan w:val="2"/>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1 DEFINITIONS</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w:t>
            </w:r>
          </w:p>
        </w:tc>
      </w:tr>
      <w:tr>
        <w:trPr/>
        <w:tc>
          <w:tcPr>
            <w:tcW w:w="1681" w:type="dxa"/>
            <w:tcBorders/>
            <w:shd w:fill="FFFFFF" w:val="clear"/>
            <w:vAlign w:val="center"/>
          </w:tcPr>
          <w:p>
            <w:pPr>
              <w:pStyle w:val="TableContents"/>
              <w:bidi w:val="0"/>
              <w:spacing w:before="0" w:after="283"/>
              <w:jc w:val="left"/>
              <w:rPr/>
            </w:pPr>
            <w:r>
              <w:rPr/>
              <w:t> </w:t>
            </w:r>
          </w:p>
        </w:tc>
        <w:tc>
          <w:tcPr>
            <w:tcW w:w="8248"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6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1.01</w:t>
            </w:r>
          </w:p>
        </w:tc>
        <w:tc>
          <w:tcPr>
            <w:tcW w:w="8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Definitions of Terms.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1681" w:type="dxa"/>
            <w:tcBorders/>
            <w:shd w:fill="FFFFFF" w:val="clear"/>
            <w:vAlign w:val="center"/>
          </w:tcPr>
          <w:p>
            <w:pPr>
              <w:pStyle w:val="TableContents"/>
              <w:bidi w:val="0"/>
              <w:spacing w:before="0" w:after="283"/>
              <w:jc w:val="left"/>
              <w:rPr/>
            </w:pPr>
            <w:r>
              <w:rPr/>
              <w:t> </w:t>
            </w:r>
          </w:p>
        </w:tc>
        <w:tc>
          <w:tcPr>
            <w:tcW w:w="8248"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2"/>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2 ISSUE, DESCRIPTION, TERMS, EXECUTION, REGISTRATION AND EXCHANGE OF SECURITIES</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w:t>
            </w:r>
          </w:p>
        </w:tc>
      </w:tr>
      <w:tr>
        <w:trPr/>
        <w:tc>
          <w:tcPr>
            <w:tcW w:w="1681" w:type="dxa"/>
            <w:tcBorders/>
            <w:shd w:fill="FFFFFF" w:val="clear"/>
            <w:vAlign w:val="center"/>
          </w:tcPr>
          <w:p>
            <w:pPr>
              <w:pStyle w:val="TableContents"/>
              <w:bidi w:val="0"/>
              <w:spacing w:before="0" w:after="283"/>
              <w:jc w:val="left"/>
              <w:rPr/>
            </w:pPr>
            <w:r>
              <w:rPr/>
              <w:t> </w:t>
            </w:r>
          </w:p>
        </w:tc>
        <w:tc>
          <w:tcPr>
            <w:tcW w:w="8248"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6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2.01</w:t>
            </w:r>
          </w:p>
        </w:tc>
        <w:tc>
          <w:tcPr>
            <w:tcW w:w="8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Designation and Terms of Securities.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16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2.02</w:t>
            </w:r>
          </w:p>
        </w:tc>
        <w:tc>
          <w:tcPr>
            <w:tcW w:w="8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Form of Securities and Trustee’s Certificate.</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r>
      <w:tr>
        <w:trPr/>
        <w:tc>
          <w:tcPr>
            <w:tcW w:w="16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2.03</w:t>
            </w:r>
          </w:p>
        </w:tc>
        <w:tc>
          <w:tcPr>
            <w:tcW w:w="8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Denominations: Provisions for Payment.</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r>
      <w:tr>
        <w:trPr/>
        <w:tc>
          <w:tcPr>
            <w:tcW w:w="16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2.04</w:t>
            </w:r>
          </w:p>
        </w:tc>
        <w:tc>
          <w:tcPr>
            <w:tcW w:w="8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Execution and Authentications.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r>
      <w:tr>
        <w:trPr/>
        <w:tc>
          <w:tcPr>
            <w:tcW w:w="16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2.05</w:t>
            </w:r>
          </w:p>
        </w:tc>
        <w:tc>
          <w:tcPr>
            <w:tcW w:w="8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of Transfer and Exchange.</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r>
      <w:tr>
        <w:trPr/>
        <w:tc>
          <w:tcPr>
            <w:tcW w:w="16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2.06</w:t>
            </w:r>
          </w:p>
        </w:tc>
        <w:tc>
          <w:tcPr>
            <w:tcW w:w="8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Temporary Securities.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r>
      <w:tr>
        <w:trPr/>
        <w:tc>
          <w:tcPr>
            <w:tcW w:w="16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2.07</w:t>
            </w:r>
          </w:p>
        </w:tc>
        <w:tc>
          <w:tcPr>
            <w:tcW w:w="8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Mutilated, Destroyed, Lost or Stolen Securities.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r>
      <w:tr>
        <w:trPr/>
        <w:tc>
          <w:tcPr>
            <w:tcW w:w="16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2.08</w:t>
            </w:r>
          </w:p>
        </w:tc>
        <w:tc>
          <w:tcPr>
            <w:tcW w:w="8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Cancellation.</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r>
      <w:tr>
        <w:trPr/>
        <w:tc>
          <w:tcPr>
            <w:tcW w:w="16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2.09</w:t>
            </w:r>
          </w:p>
        </w:tc>
        <w:tc>
          <w:tcPr>
            <w:tcW w:w="8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Benefits of Indenture.</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r>
      <w:tr>
        <w:trPr/>
        <w:tc>
          <w:tcPr>
            <w:tcW w:w="16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2.10</w:t>
            </w:r>
          </w:p>
        </w:tc>
        <w:tc>
          <w:tcPr>
            <w:tcW w:w="8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Authenticating Agent.</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r>
      <w:tr>
        <w:trPr/>
        <w:tc>
          <w:tcPr>
            <w:tcW w:w="16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2.11</w:t>
            </w:r>
          </w:p>
        </w:tc>
        <w:tc>
          <w:tcPr>
            <w:tcW w:w="8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Global Securities.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r>
      <w:tr>
        <w:trPr/>
        <w:tc>
          <w:tcPr>
            <w:tcW w:w="1681" w:type="dxa"/>
            <w:tcBorders/>
            <w:shd w:fill="FFFFFF" w:val="clear"/>
            <w:vAlign w:val="center"/>
          </w:tcPr>
          <w:p>
            <w:pPr>
              <w:pStyle w:val="TableContents"/>
              <w:bidi w:val="0"/>
              <w:spacing w:before="0" w:after="283"/>
              <w:jc w:val="left"/>
              <w:rPr/>
            </w:pPr>
            <w:r>
              <w:rPr/>
              <w:t> </w:t>
            </w:r>
          </w:p>
        </w:tc>
        <w:tc>
          <w:tcPr>
            <w:tcW w:w="8248"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2"/>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3 REDEMPTION OF SECURITIES AND SINKING FUND PROVISIONS</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15</w:t>
            </w:r>
          </w:p>
        </w:tc>
      </w:tr>
      <w:tr>
        <w:trPr/>
        <w:tc>
          <w:tcPr>
            <w:tcW w:w="1681" w:type="dxa"/>
            <w:tcBorders/>
            <w:shd w:fill="FFFFFF" w:val="clear"/>
            <w:vAlign w:val="center"/>
          </w:tcPr>
          <w:p>
            <w:pPr>
              <w:pStyle w:val="TableContents"/>
              <w:bidi w:val="0"/>
              <w:spacing w:before="0" w:after="283"/>
              <w:jc w:val="left"/>
              <w:rPr/>
            </w:pPr>
            <w:r>
              <w:rPr/>
              <w:t> </w:t>
            </w:r>
          </w:p>
        </w:tc>
        <w:tc>
          <w:tcPr>
            <w:tcW w:w="8248"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6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3.01</w:t>
            </w:r>
          </w:p>
        </w:tc>
        <w:tc>
          <w:tcPr>
            <w:tcW w:w="8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Redemption.</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16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3.02</w:t>
            </w:r>
          </w:p>
        </w:tc>
        <w:tc>
          <w:tcPr>
            <w:tcW w:w="8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 of Redemption.</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16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3.03</w:t>
            </w:r>
          </w:p>
        </w:tc>
        <w:tc>
          <w:tcPr>
            <w:tcW w:w="8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Upon Redemption.</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r>
      <w:tr>
        <w:trPr/>
        <w:tc>
          <w:tcPr>
            <w:tcW w:w="16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3.04</w:t>
            </w:r>
          </w:p>
        </w:tc>
        <w:tc>
          <w:tcPr>
            <w:tcW w:w="8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Sinking Fund.</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r>
      <w:tr>
        <w:trPr/>
        <w:tc>
          <w:tcPr>
            <w:tcW w:w="16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3.05</w:t>
            </w:r>
          </w:p>
        </w:tc>
        <w:tc>
          <w:tcPr>
            <w:tcW w:w="8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Satisfaction of Sinking Fund Payments with Securities.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16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3.06</w:t>
            </w:r>
          </w:p>
        </w:tc>
        <w:tc>
          <w:tcPr>
            <w:tcW w:w="8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Redemption of Securities for Sinking Fund.</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1681" w:type="dxa"/>
            <w:tcBorders/>
            <w:shd w:fill="CCEEFF" w:val="clear"/>
            <w:vAlign w:val="center"/>
          </w:tcPr>
          <w:p>
            <w:pPr>
              <w:pStyle w:val="TableContents"/>
              <w:bidi w:val="0"/>
              <w:spacing w:before="0" w:after="283"/>
              <w:jc w:val="left"/>
              <w:rPr/>
            </w:pPr>
            <w:r>
              <w:rPr/>
              <w:t> </w:t>
            </w:r>
          </w:p>
        </w:tc>
        <w:tc>
          <w:tcPr>
            <w:tcW w:w="8248"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2"/>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4 COVENANTS</w:t>
            </w:r>
          </w:p>
        </w:tc>
        <w:tc>
          <w:tcPr>
            <w:tcW w:w="276"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17</w:t>
            </w:r>
          </w:p>
        </w:tc>
      </w:tr>
      <w:tr>
        <w:trPr/>
        <w:tc>
          <w:tcPr>
            <w:tcW w:w="1681" w:type="dxa"/>
            <w:tcBorders/>
            <w:shd w:fill="CCEEFF" w:val="clear"/>
            <w:vAlign w:val="center"/>
          </w:tcPr>
          <w:p>
            <w:pPr>
              <w:pStyle w:val="TableContents"/>
              <w:bidi w:val="0"/>
              <w:spacing w:before="0" w:after="283"/>
              <w:jc w:val="left"/>
              <w:rPr/>
            </w:pPr>
            <w:r>
              <w:rPr/>
              <w:t> </w:t>
            </w:r>
          </w:p>
        </w:tc>
        <w:tc>
          <w:tcPr>
            <w:tcW w:w="8248"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4.01</w:t>
            </w:r>
          </w:p>
        </w:tc>
        <w:tc>
          <w:tcPr>
            <w:tcW w:w="8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Principal, Premium and Interest.</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16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4.02</w:t>
            </w:r>
          </w:p>
        </w:tc>
        <w:tc>
          <w:tcPr>
            <w:tcW w:w="8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Maintenance of Office or Agency.</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16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4.03</w:t>
            </w:r>
          </w:p>
        </w:tc>
        <w:tc>
          <w:tcPr>
            <w:tcW w:w="8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Paying Agents.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r>
      <w:tr>
        <w:trPr/>
        <w:tc>
          <w:tcPr>
            <w:tcW w:w="16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4.04</w:t>
            </w:r>
          </w:p>
        </w:tc>
        <w:tc>
          <w:tcPr>
            <w:tcW w:w="8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Appointment to Fill Vacancy in Office of Trustee.</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6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4.05</w:t>
            </w:r>
          </w:p>
        </w:tc>
        <w:tc>
          <w:tcPr>
            <w:tcW w:w="8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with Consolidation Provisions.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681" w:type="dxa"/>
            <w:tcBorders/>
            <w:shd w:fill="CCEEFF" w:val="clear"/>
            <w:vAlign w:val="center"/>
          </w:tcPr>
          <w:p>
            <w:pPr>
              <w:pStyle w:val="TableContents"/>
              <w:bidi w:val="0"/>
              <w:spacing w:before="0" w:after="283"/>
              <w:jc w:val="left"/>
              <w:rPr/>
            </w:pPr>
            <w:r>
              <w:rPr/>
              <w:t> </w:t>
            </w:r>
          </w:p>
        </w:tc>
        <w:tc>
          <w:tcPr>
            <w:tcW w:w="8248"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2"/>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5 SECURITYHOLDERS’ LISTS AND REPORTS BY THE COMPANY AND THE TRUSTEE</w:t>
            </w:r>
          </w:p>
        </w:tc>
        <w:tc>
          <w:tcPr>
            <w:tcW w:w="276"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19</w:t>
            </w:r>
          </w:p>
        </w:tc>
      </w:tr>
      <w:tr>
        <w:trPr/>
        <w:tc>
          <w:tcPr>
            <w:tcW w:w="1681" w:type="dxa"/>
            <w:tcBorders/>
            <w:shd w:fill="CCEEFF" w:val="clear"/>
            <w:vAlign w:val="center"/>
          </w:tcPr>
          <w:p>
            <w:pPr>
              <w:pStyle w:val="TableContents"/>
              <w:bidi w:val="0"/>
              <w:spacing w:before="0" w:after="283"/>
              <w:jc w:val="left"/>
              <w:rPr/>
            </w:pPr>
            <w:r>
              <w:rPr/>
              <w:t> </w:t>
            </w:r>
          </w:p>
        </w:tc>
        <w:tc>
          <w:tcPr>
            <w:tcW w:w="8248"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5.01</w:t>
            </w:r>
          </w:p>
        </w:tc>
        <w:tc>
          <w:tcPr>
            <w:tcW w:w="8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Company to Furnish Trustee Names and Addresses of Securityholders.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6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5.02</w:t>
            </w:r>
          </w:p>
        </w:tc>
        <w:tc>
          <w:tcPr>
            <w:tcW w:w="8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Preservation of Information; Communications With Securityholders.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6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5.03</w:t>
            </w:r>
          </w:p>
        </w:tc>
        <w:tc>
          <w:tcPr>
            <w:tcW w:w="8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Reports by the Company.</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6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5.04</w:t>
            </w:r>
          </w:p>
        </w:tc>
        <w:tc>
          <w:tcPr>
            <w:tcW w:w="8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Reports by the Trustee.</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100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Table of Contents does not constitute part of the Indenture and shall not have any bearing on the interpretation of any of its terms or provisions.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5"/>
        <w:gridCol w:w="8134"/>
        <w:gridCol w:w="276"/>
      </w:tblGrid>
      <w:tr>
        <w:trPr/>
        <w:tc>
          <w:tcPr>
            <w:tcW w:w="9929" w:type="dxa"/>
            <w:gridSpan w:val="2"/>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6 REMEDIES OF THE TRUSTEE AND SECURITYHOLDERS ON EVENT OF DEFAULT</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w:t>
            </w:r>
          </w:p>
        </w:tc>
      </w:tr>
      <w:tr>
        <w:trPr/>
        <w:tc>
          <w:tcPr>
            <w:tcW w:w="1795" w:type="dxa"/>
            <w:tcBorders/>
            <w:shd w:fill="FFFFFF" w:val="clear"/>
            <w:vAlign w:val="center"/>
          </w:tcPr>
          <w:p>
            <w:pPr>
              <w:pStyle w:val="TableContents"/>
              <w:bidi w:val="0"/>
              <w:spacing w:before="0" w:after="283"/>
              <w:jc w:val="left"/>
              <w:rPr/>
            </w:pPr>
            <w:r>
              <w:rPr/>
              <w:t> </w:t>
            </w:r>
          </w:p>
        </w:tc>
        <w:tc>
          <w:tcPr>
            <w:tcW w:w="8134"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6.01</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Events of Default.</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6.02</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Collection of Indebtedness and Suits for Enforcement by Trustee.</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6.03</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 of Moneys Collected.</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6.04</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Limitation on Suits.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6.05</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Rights and Remedies Cumulative; Delay or Omission Not Waiver.</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6.06</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Control by Securityholders.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6.07</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Undertaking to Pay Costs.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r>
      <w:tr>
        <w:trPr/>
        <w:tc>
          <w:tcPr>
            <w:tcW w:w="1795" w:type="dxa"/>
            <w:tcBorders/>
            <w:shd w:fill="FFFFFF" w:val="clear"/>
            <w:vAlign w:val="center"/>
          </w:tcPr>
          <w:p>
            <w:pPr>
              <w:pStyle w:val="TableContents"/>
              <w:bidi w:val="0"/>
              <w:spacing w:before="0" w:after="283"/>
              <w:jc w:val="left"/>
              <w:rPr/>
            </w:pPr>
            <w:r>
              <w:rPr/>
              <w:t> </w:t>
            </w:r>
          </w:p>
        </w:tc>
        <w:tc>
          <w:tcPr>
            <w:tcW w:w="8134"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2"/>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7 CONCERNING THE TRUSTEE</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25</w:t>
            </w:r>
          </w:p>
        </w:tc>
      </w:tr>
      <w:tr>
        <w:trPr/>
        <w:tc>
          <w:tcPr>
            <w:tcW w:w="1795" w:type="dxa"/>
            <w:tcBorders/>
            <w:shd w:fill="FFFFFF" w:val="clear"/>
            <w:vAlign w:val="center"/>
          </w:tcPr>
          <w:p>
            <w:pPr>
              <w:pStyle w:val="TableContents"/>
              <w:bidi w:val="0"/>
              <w:spacing w:before="0" w:after="283"/>
              <w:jc w:val="left"/>
              <w:rPr/>
            </w:pPr>
            <w:r>
              <w:rPr/>
              <w:t> </w:t>
            </w:r>
          </w:p>
        </w:tc>
        <w:tc>
          <w:tcPr>
            <w:tcW w:w="8134"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7.01</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Certain Duties and Responsibilities of Trustee.</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7.02</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Certain Rights of Trustee.</w:t>
            </w:r>
          </w:p>
        </w:tc>
        <w:tc>
          <w:tcPr>
            <w:tcW w:w="276" w:type="dxa"/>
            <w:tcBorders/>
            <w:shd w:fill="FFFFFF" w:val="clear"/>
            <w:vAlign w:val="center"/>
          </w:tcPr>
          <w:p>
            <w:pPr>
              <w:pStyle w:val="TableContents"/>
              <w:bidi w:val="0"/>
              <w:spacing w:before="0" w:after="283"/>
              <w:jc w:val="center"/>
              <w:rPr/>
            </w:pPr>
            <w:r>
              <w:rPr/>
              <w:t>26</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7.03</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 Not Responsible for Recitals or Issuance of Securities.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7.04</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May Hold Securities.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7.05</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Moneys Held in Trust.</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7.06</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and Reimbursement.</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7.07</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Reliance on Officer’s Certificate or Opinion of Counsel.</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7.08</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Disqualification; Conflicting Interests.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7.09</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Trustee Required; Eligibility.</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29</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7.10</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Resignation and Removal; Appointment of Successor.</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29</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7.11</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Acceptance of Appointment By Successor.</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7.12</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 Conversion, Consolidation or Succession to Business.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7.13</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Preferential Collection of Claims Against the Company.</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7.14</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 of Default.</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w:t>
            </w:r>
          </w:p>
        </w:tc>
      </w:tr>
      <w:tr>
        <w:trPr/>
        <w:tc>
          <w:tcPr>
            <w:tcW w:w="1795" w:type="dxa"/>
            <w:tcBorders/>
            <w:shd w:fill="CCEEFF" w:val="clear"/>
            <w:vAlign w:val="center"/>
          </w:tcPr>
          <w:p>
            <w:pPr>
              <w:pStyle w:val="TableContents"/>
              <w:bidi w:val="0"/>
              <w:spacing w:before="0" w:after="283"/>
              <w:jc w:val="left"/>
              <w:rPr/>
            </w:pPr>
            <w:r>
              <w:rPr/>
              <w:t> </w:t>
            </w:r>
          </w:p>
        </w:tc>
        <w:tc>
          <w:tcPr>
            <w:tcW w:w="8134"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2"/>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8 CONCERNING THE SECURITYHOLDERS</w:t>
            </w:r>
          </w:p>
        </w:tc>
        <w:tc>
          <w:tcPr>
            <w:tcW w:w="276"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32</w:t>
            </w:r>
          </w:p>
        </w:tc>
      </w:tr>
      <w:tr>
        <w:trPr/>
        <w:tc>
          <w:tcPr>
            <w:tcW w:w="1795" w:type="dxa"/>
            <w:tcBorders/>
            <w:shd w:fill="CCEEFF" w:val="clear"/>
            <w:vAlign w:val="center"/>
          </w:tcPr>
          <w:p>
            <w:pPr>
              <w:pStyle w:val="TableContents"/>
              <w:bidi w:val="0"/>
              <w:spacing w:before="0" w:after="283"/>
              <w:jc w:val="left"/>
              <w:rPr/>
            </w:pPr>
            <w:r>
              <w:rPr/>
              <w:t> </w:t>
            </w:r>
          </w:p>
        </w:tc>
        <w:tc>
          <w:tcPr>
            <w:tcW w:w="8134"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8.01</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Evidence of Action by Securityholders.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8.02</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Proof of Execution by Securityholders.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8.03</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Who May Be Deemed Owners.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8.04</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Certain Securities Owned by Company Disregarded.</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8.05</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Actions Binding on Future Securityholders.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w:t>
            </w:r>
          </w:p>
        </w:tc>
      </w:tr>
      <w:tr>
        <w:trPr/>
        <w:tc>
          <w:tcPr>
            <w:tcW w:w="1795" w:type="dxa"/>
            <w:tcBorders/>
            <w:shd w:fill="CCEEFF" w:val="clear"/>
            <w:vAlign w:val="center"/>
          </w:tcPr>
          <w:p>
            <w:pPr>
              <w:pStyle w:val="TableContents"/>
              <w:bidi w:val="0"/>
              <w:spacing w:before="0" w:after="283"/>
              <w:jc w:val="left"/>
              <w:rPr/>
            </w:pPr>
            <w:r>
              <w:rPr/>
              <w:t> </w:t>
            </w:r>
          </w:p>
        </w:tc>
        <w:tc>
          <w:tcPr>
            <w:tcW w:w="8134"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2"/>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9 SUPPLEMENTAL INDENTURES</w:t>
            </w:r>
          </w:p>
        </w:tc>
        <w:tc>
          <w:tcPr>
            <w:tcW w:w="276"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33</w:t>
            </w:r>
          </w:p>
        </w:tc>
      </w:tr>
      <w:tr>
        <w:trPr/>
        <w:tc>
          <w:tcPr>
            <w:tcW w:w="1795" w:type="dxa"/>
            <w:tcBorders/>
            <w:shd w:fill="CCEEFF" w:val="clear"/>
            <w:vAlign w:val="center"/>
          </w:tcPr>
          <w:p>
            <w:pPr>
              <w:pStyle w:val="TableContents"/>
              <w:bidi w:val="0"/>
              <w:spacing w:before="0" w:after="283"/>
              <w:jc w:val="left"/>
              <w:rPr/>
            </w:pPr>
            <w:r>
              <w:rPr/>
              <w:t> </w:t>
            </w:r>
          </w:p>
        </w:tc>
        <w:tc>
          <w:tcPr>
            <w:tcW w:w="8134"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9.01</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Indentures Without the Consent of Securityholders.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9.02</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Indentures With Consent of Securityholders.</w:t>
            </w:r>
          </w:p>
        </w:tc>
        <w:tc>
          <w:tcPr>
            <w:tcW w:w="276" w:type="dxa"/>
            <w:tcBorders/>
            <w:shd w:fill="CCEEFF" w:val="clear"/>
            <w:vAlign w:val="center"/>
          </w:tcPr>
          <w:p>
            <w:pPr>
              <w:pStyle w:val="TableContents"/>
              <w:bidi w:val="0"/>
              <w:spacing w:before="0" w:after="283"/>
              <w:jc w:val="center"/>
              <w:rPr/>
            </w:pPr>
            <w:r>
              <w:rPr/>
              <w:t>3</w:t>
            </w:r>
            <w:r>
              <w:rPr>
                <w:rFonts w:ascii="Times New Roman;Times;Serif" w:hAnsi="Times New Roman;Times;Serif"/>
              </w:rPr>
              <w:t>4</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9.03</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Supplemental Indentures.</w:t>
            </w:r>
          </w:p>
        </w:tc>
        <w:tc>
          <w:tcPr>
            <w:tcW w:w="276" w:type="dxa"/>
            <w:tcBorders/>
            <w:shd w:fill="FFFFFF" w:val="clear"/>
            <w:vAlign w:val="center"/>
          </w:tcPr>
          <w:p>
            <w:pPr>
              <w:pStyle w:val="TableContents"/>
              <w:bidi w:val="0"/>
              <w:spacing w:before="0" w:after="283"/>
              <w:jc w:val="center"/>
              <w:rPr/>
            </w:pPr>
            <w:r>
              <w:rPr/>
              <w:t>3</w:t>
            </w:r>
            <w:r>
              <w:rPr>
                <w:rFonts w:ascii="Times New Roman;Times;Serif" w:hAnsi="Times New Roman;Times;Serif"/>
              </w:rPr>
              <w:t>4</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9.04</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Affected by Supplemental Indentures.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34</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9.05</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Execution of Supplemental Indentures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w:t>
            </w:r>
          </w:p>
        </w:tc>
      </w:tr>
      <w:tr>
        <w:trPr/>
        <w:tc>
          <w:tcPr>
            <w:tcW w:w="1795" w:type="dxa"/>
            <w:tcBorders/>
            <w:shd w:fill="CCEEFF" w:val="clear"/>
            <w:vAlign w:val="center"/>
          </w:tcPr>
          <w:p>
            <w:pPr>
              <w:pStyle w:val="TableContents"/>
              <w:bidi w:val="0"/>
              <w:spacing w:before="0" w:after="283"/>
              <w:jc w:val="left"/>
              <w:rPr/>
            </w:pPr>
            <w:r>
              <w:rPr/>
              <w:t> </w:t>
            </w:r>
          </w:p>
        </w:tc>
        <w:tc>
          <w:tcPr>
            <w:tcW w:w="8134"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2"/>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10 SUCCESSOR ENTITY</w:t>
            </w:r>
          </w:p>
        </w:tc>
        <w:tc>
          <w:tcPr>
            <w:tcW w:w="276"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35</w:t>
            </w:r>
          </w:p>
        </w:tc>
      </w:tr>
      <w:tr>
        <w:trPr/>
        <w:tc>
          <w:tcPr>
            <w:tcW w:w="1795" w:type="dxa"/>
            <w:tcBorders/>
            <w:shd w:fill="CCEEFF" w:val="clear"/>
            <w:vAlign w:val="center"/>
          </w:tcPr>
          <w:p>
            <w:pPr>
              <w:pStyle w:val="TableContents"/>
              <w:bidi w:val="0"/>
              <w:spacing w:before="0" w:after="283"/>
              <w:jc w:val="left"/>
              <w:rPr/>
            </w:pPr>
            <w:r>
              <w:rPr/>
              <w:t> </w:t>
            </w:r>
          </w:p>
        </w:tc>
        <w:tc>
          <w:tcPr>
            <w:tcW w:w="8134"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1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10.01</w:t>
            </w:r>
          </w:p>
        </w:tc>
        <w:tc>
          <w:tcPr>
            <w:tcW w:w="8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Company May Consolidate, Etc.</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w:t>
            </w:r>
          </w:p>
        </w:tc>
      </w:tr>
      <w:tr>
        <w:trPr/>
        <w:tc>
          <w:tcPr>
            <w:tcW w:w="1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10.02</w:t>
            </w:r>
          </w:p>
        </w:tc>
        <w:tc>
          <w:tcPr>
            <w:tcW w:w="8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Successor Entity Substituted.</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4"/>
        <w:gridCol w:w="7795"/>
        <w:gridCol w:w="276"/>
      </w:tblGrid>
      <w:tr>
        <w:trPr/>
        <w:tc>
          <w:tcPr>
            <w:tcW w:w="9929" w:type="dxa"/>
            <w:gridSpan w:val="2"/>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11 SATISFACTION AND DISCHARGE</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36</w:t>
            </w:r>
          </w:p>
        </w:tc>
      </w:tr>
      <w:tr>
        <w:trPr/>
        <w:tc>
          <w:tcPr>
            <w:tcW w:w="2134" w:type="dxa"/>
            <w:tcBorders/>
            <w:shd w:fill="FFFFFF" w:val="clear"/>
            <w:vAlign w:val="center"/>
          </w:tcPr>
          <w:p>
            <w:pPr>
              <w:pStyle w:val="TableContents"/>
              <w:bidi w:val="0"/>
              <w:spacing w:before="0" w:after="283"/>
              <w:jc w:val="left"/>
              <w:rPr/>
            </w:pPr>
            <w:r>
              <w:rPr/>
              <w:t> </w:t>
            </w:r>
          </w:p>
        </w:tc>
        <w:tc>
          <w:tcPr>
            <w:tcW w:w="779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2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11.01</w:t>
            </w:r>
          </w:p>
        </w:tc>
        <w:tc>
          <w:tcPr>
            <w:tcW w:w="7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Satisfaction and Discharge of Indenture.</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r>
      <w:tr>
        <w:trPr/>
        <w:tc>
          <w:tcPr>
            <w:tcW w:w="2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11.02</w:t>
            </w:r>
          </w:p>
        </w:tc>
        <w:tc>
          <w:tcPr>
            <w:tcW w:w="7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Discharge of Obligations.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r>
      <w:tr>
        <w:trPr/>
        <w:tc>
          <w:tcPr>
            <w:tcW w:w="2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11.03</w:t>
            </w:r>
          </w:p>
        </w:tc>
        <w:tc>
          <w:tcPr>
            <w:tcW w:w="7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Deposited Moneys to be Held in Trust.</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r>
      <w:tr>
        <w:trPr/>
        <w:tc>
          <w:tcPr>
            <w:tcW w:w="2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11.04</w:t>
            </w:r>
          </w:p>
        </w:tc>
        <w:tc>
          <w:tcPr>
            <w:tcW w:w="7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Moneys Held by Paying Agents.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r>
      <w:tr>
        <w:trPr/>
        <w:tc>
          <w:tcPr>
            <w:tcW w:w="2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11.05</w:t>
            </w:r>
          </w:p>
        </w:tc>
        <w:tc>
          <w:tcPr>
            <w:tcW w:w="7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to Company.</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r>
      <w:tr>
        <w:trPr/>
        <w:tc>
          <w:tcPr>
            <w:tcW w:w="2134" w:type="dxa"/>
            <w:tcBorders/>
            <w:shd w:fill="FFFFFF" w:val="clear"/>
            <w:vAlign w:val="center"/>
          </w:tcPr>
          <w:p>
            <w:pPr>
              <w:pStyle w:val="TableContents"/>
              <w:bidi w:val="0"/>
              <w:spacing w:before="0" w:after="283"/>
              <w:jc w:val="left"/>
              <w:rPr/>
            </w:pPr>
            <w:r>
              <w:rPr/>
              <w:t> </w:t>
            </w:r>
          </w:p>
        </w:tc>
        <w:tc>
          <w:tcPr>
            <w:tcW w:w="779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2"/>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12 IMMUNITY OF INCORPORATORS, STOCKHOLDERS, OFFICERS AND DIRECTORS</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37</w:t>
            </w:r>
          </w:p>
        </w:tc>
      </w:tr>
      <w:tr>
        <w:trPr/>
        <w:tc>
          <w:tcPr>
            <w:tcW w:w="2134" w:type="dxa"/>
            <w:tcBorders/>
            <w:shd w:fill="FFFFFF" w:val="clear"/>
            <w:vAlign w:val="center"/>
          </w:tcPr>
          <w:p>
            <w:pPr>
              <w:pStyle w:val="TableContents"/>
              <w:bidi w:val="0"/>
              <w:spacing w:before="0" w:after="283"/>
              <w:jc w:val="left"/>
              <w:rPr/>
            </w:pPr>
            <w:r>
              <w:rPr/>
              <w:t> </w:t>
            </w:r>
          </w:p>
        </w:tc>
        <w:tc>
          <w:tcPr>
            <w:tcW w:w="779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2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12.01</w:t>
            </w:r>
          </w:p>
        </w:tc>
        <w:tc>
          <w:tcPr>
            <w:tcW w:w="7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Recourse.</w:t>
            </w:r>
          </w:p>
        </w:tc>
        <w:tc>
          <w:tcPr>
            <w:tcW w:w="276" w:type="dxa"/>
            <w:tcBorders/>
            <w:shd w:fill="CCEEFF" w:val="clear"/>
            <w:vAlign w:val="center"/>
          </w:tcPr>
          <w:p>
            <w:pPr>
              <w:pStyle w:val="TableContents"/>
              <w:bidi w:val="0"/>
              <w:spacing w:before="0" w:after="283"/>
              <w:jc w:val="center"/>
              <w:rPr/>
            </w:pPr>
            <w:r>
              <w:rPr/>
              <w:t>37</w:t>
            </w:r>
          </w:p>
        </w:tc>
      </w:tr>
      <w:tr>
        <w:trPr/>
        <w:tc>
          <w:tcPr>
            <w:tcW w:w="2134" w:type="dxa"/>
            <w:tcBorders/>
            <w:shd w:fill="FFFFFF" w:val="clear"/>
            <w:vAlign w:val="center"/>
          </w:tcPr>
          <w:p>
            <w:pPr>
              <w:pStyle w:val="TableContents"/>
              <w:bidi w:val="0"/>
              <w:spacing w:before="0" w:after="283"/>
              <w:jc w:val="left"/>
              <w:rPr/>
            </w:pPr>
            <w:r>
              <w:rPr/>
              <w:t> </w:t>
            </w:r>
          </w:p>
        </w:tc>
        <w:tc>
          <w:tcPr>
            <w:tcW w:w="779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2"/>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ARTICLE 13 MISCELLANEOUS PROVISIONS</w:t>
            </w:r>
          </w:p>
        </w:tc>
        <w:tc>
          <w:tcPr>
            <w:tcW w:w="27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37</w:t>
            </w:r>
          </w:p>
        </w:tc>
      </w:tr>
      <w:tr>
        <w:trPr/>
        <w:tc>
          <w:tcPr>
            <w:tcW w:w="2134" w:type="dxa"/>
            <w:tcBorders/>
            <w:shd w:fill="FFFFFF" w:val="clear"/>
            <w:vAlign w:val="center"/>
          </w:tcPr>
          <w:p>
            <w:pPr>
              <w:pStyle w:val="TableContents"/>
              <w:bidi w:val="0"/>
              <w:spacing w:before="0" w:after="283"/>
              <w:jc w:val="left"/>
              <w:rPr/>
            </w:pPr>
            <w:r>
              <w:rPr/>
              <w:t> </w:t>
            </w:r>
          </w:p>
        </w:tc>
        <w:tc>
          <w:tcPr>
            <w:tcW w:w="779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2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13.01</w:t>
            </w:r>
          </w:p>
        </w:tc>
        <w:tc>
          <w:tcPr>
            <w:tcW w:w="7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on Successors and Assigns.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r>
      <w:tr>
        <w:trPr/>
        <w:tc>
          <w:tcPr>
            <w:tcW w:w="2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13.02</w:t>
            </w:r>
          </w:p>
        </w:tc>
        <w:tc>
          <w:tcPr>
            <w:tcW w:w="7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Actions by Successor.</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r>
      <w:tr>
        <w:trPr/>
        <w:tc>
          <w:tcPr>
            <w:tcW w:w="2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13.03</w:t>
            </w:r>
          </w:p>
        </w:tc>
        <w:tc>
          <w:tcPr>
            <w:tcW w:w="7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Surrender of Company Powers.</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r>
      <w:tr>
        <w:trPr/>
        <w:tc>
          <w:tcPr>
            <w:tcW w:w="2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13.04</w:t>
            </w:r>
          </w:p>
        </w:tc>
        <w:tc>
          <w:tcPr>
            <w:tcW w:w="7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2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13.05</w:t>
            </w:r>
          </w:p>
        </w:tc>
        <w:tc>
          <w:tcPr>
            <w:tcW w:w="7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Governing Law; Jury Trial Waiver.</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2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13.06</w:t>
            </w:r>
          </w:p>
        </w:tc>
        <w:tc>
          <w:tcPr>
            <w:tcW w:w="7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Treatment of Securities as Debt.</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2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13.07</w:t>
            </w:r>
          </w:p>
        </w:tc>
        <w:tc>
          <w:tcPr>
            <w:tcW w:w="7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Certificates and Opinions as to Conditions Precedent.</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2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13.08</w:t>
            </w:r>
          </w:p>
        </w:tc>
        <w:tc>
          <w:tcPr>
            <w:tcW w:w="7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on Business Days.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2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13.09</w:t>
            </w:r>
          </w:p>
        </w:tc>
        <w:tc>
          <w:tcPr>
            <w:tcW w:w="7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Conflict with Trust Indenture Act.</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2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13.10</w:t>
            </w:r>
          </w:p>
        </w:tc>
        <w:tc>
          <w:tcPr>
            <w:tcW w:w="7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Counterparts.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2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13.11</w:t>
            </w:r>
          </w:p>
        </w:tc>
        <w:tc>
          <w:tcPr>
            <w:tcW w:w="7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Separability.</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2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13.12</w:t>
            </w:r>
          </w:p>
        </w:tc>
        <w:tc>
          <w:tcPr>
            <w:tcW w:w="7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Certificates.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2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13.13</w:t>
            </w:r>
          </w:p>
        </w:tc>
        <w:tc>
          <w:tcPr>
            <w:tcW w:w="7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USA PATRIOT ACT.</w:t>
            </w:r>
          </w:p>
        </w:tc>
        <w:tc>
          <w:tcPr>
            <w:tcW w:w="2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21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13.14</w:t>
            </w:r>
          </w:p>
        </w:tc>
        <w:tc>
          <w:tcPr>
            <w:tcW w:w="7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Calculations.</w:t>
            </w:r>
          </w:p>
        </w:tc>
        <w:tc>
          <w:tcPr>
            <w:tcW w:w="27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r>
        <w:trPr/>
        <w:tc>
          <w:tcPr>
            <w:tcW w:w="2134" w:type="dxa"/>
            <w:tcBorders/>
            <w:shd w:fill="CCEEFF" w:val="clear"/>
            <w:vAlign w:val="center"/>
          </w:tcPr>
          <w:p>
            <w:pPr>
              <w:pStyle w:val="TableContents"/>
              <w:bidi w:val="0"/>
              <w:spacing w:before="0" w:after="283"/>
              <w:jc w:val="left"/>
              <w:rPr/>
            </w:pPr>
            <w:r>
              <w:rPr/>
              <w:t> </w:t>
            </w:r>
          </w:p>
        </w:tc>
        <w:tc>
          <w:tcPr>
            <w:tcW w:w="7795"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2"/>
            <w:tcBorders/>
            <w:shd w:fill="FFFFFF" w:val="clear"/>
            <w:vAlign w:val="center"/>
          </w:tcPr>
          <w:p>
            <w:pPr>
              <w:pStyle w:val="TableContents"/>
              <w:bidi w:val="0"/>
              <w:spacing w:before="0" w:after="283"/>
              <w:jc w:val="left"/>
              <w:rPr>
                <w:b/>
              </w:rPr>
            </w:pPr>
            <w:r>
              <w:rPr>
                <w:b/>
              </w:rPr>
              <w:t>ARTICLE 14 SUBORDINATION OF SECURITIES </w:t>
            </w:r>
          </w:p>
        </w:tc>
        <w:tc>
          <w:tcPr>
            <w:tcW w:w="276" w:type="dxa"/>
            <w:tcBorders/>
            <w:shd w:fill="FFFFFF" w:val="clear"/>
            <w:vAlign w:val="center"/>
          </w:tcPr>
          <w:p>
            <w:pPr>
              <w:pStyle w:val="TableContents"/>
              <w:bidi w:val="0"/>
              <w:spacing w:before="0" w:after="283"/>
              <w:jc w:val="center"/>
              <w:rPr>
                <w:b/>
              </w:rPr>
            </w:pPr>
            <w:r>
              <w:rPr>
                <w:b/>
              </w:rPr>
              <w:t>39</w:t>
            </w:r>
          </w:p>
        </w:tc>
      </w:tr>
      <w:tr>
        <w:trPr/>
        <w:tc>
          <w:tcPr>
            <w:tcW w:w="9929" w:type="dxa"/>
            <w:gridSpan w:val="2"/>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2134" w:type="dxa"/>
            <w:tcBorders/>
            <w:shd w:fill="FFFFFF" w:val="clear"/>
            <w:vAlign w:val="center"/>
          </w:tcPr>
          <w:p>
            <w:pPr>
              <w:pStyle w:val="TableContents"/>
              <w:bidi w:val="0"/>
              <w:spacing w:before="0" w:after="283"/>
              <w:jc w:val="left"/>
              <w:rPr/>
            </w:pPr>
            <w:r>
              <w:rPr/>
              <w:t>Section 14.01</w:t>
            </w:r>
          </w:p>
        </w:tc>
        <w:tc>
          <w:tcPr>
            <w:tcW w:w="7795" w:type="dxa"/>
            <w:tcBorders/>
            <w:shd w:fill="FFFFFF" w:val="clear"/>
            <w:vAlign w:val="center"/>
          </w:tcPr>
          <w:p>
            <w:pPr>
              <w:pStyle w:val="TableContents"/>
              <w:bidi w:val="0"/>
              <w:spacing w:before="0" w:after="283"/>
              <w:jc w:val="left"/>
              <w:rPr/>
            </w:pPr>
            <w:r>
              <w:rPr/>
              <w:t>Subordination Terms.</w:t>
            </w:r>
          </w:p>
        </w:tc>
        <w:tc>
          <w:tcPr>
            <w:tcW w:w="276" w:type="dxa"/>
            <w:tcBorders/>
            <w:shd w:fill="FFFFFF" w:val="clear"/>
            <w:vAlign w:val="center"/>
          </w:tcPr>
          <w:p>
            <w:pPr>
              <w:pStyle w:val="TableContents"/>
              <w:bidi w:val="0"/>
              <w:spacing w:before="0" w:after="283"/>
              <w:jc w:val="center"/>
              <w:rPr/>
            </w:pPr>
            <w:r>
              <w:rPr/>
              <w:t>39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xml:space="preserve">, dated as of [●], 202[●], between </w:t>
      </w:r>
      <w:r>
        <w:rPr>
          <w:rFonts w:ascii="Times New Roman;Times;Serif" w:hAnsi="Times New Roman;Times;Serif"/>
          <w:b/>
          <w:i w:val="false"/>
          <w:caps w:val="false"/>
          <w:smallCaps w:val="false"/>
          <w:sz w:val="20"/>
        </w:rPr>
        <w:t>MOONLAKE IMMUNOTHERAPEUTICS</w:t>
      </w:r>
      <w:r>
        <w:rPr>
          <w:rFonts w:ascii="Times New Roman;Times;Serif" w:hAnsi="Times New Roman;Times;Serif"/>
          <w:b w:val="false"/>
          <w:i w:val="false"/>
          <w:caps w:val="false"/>
          <w:smallCaps w:val="false"/>
          <w:sz w:val="20"/>
        </w:rPr>
        <w:t>, a Cayman Islands exempted company limited by shares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xml:space="preserve">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its lawful corporate purposes, the Company has duly authorized the execution and delivery of this Indenture to provide for the issuance of subordinated debt securities (hereinafter referred to as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to provide the terms and conditions upon which the Securities are to be authenticated, issued and delivered, the Company has duly authorized the execution of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things necessary to make this Indenture a valid and binding agreement of the Company, in accordance with its terms, have been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purchase of the Securities by the holders thereof, it is mutually covenanted and agreed as follows for the equal and ratable benefit of the holders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 of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Authenticating Agent</w:t>
      </w:r>
      <w:r>
        <w:rPr>
          <w:rFonts w:ascii="Times New Roman;Times;Serif" w:hAnsi="Times New Roman;Times;Serif"/>
          <w:b w:val="false"/>
          <w:i w:val="false"/>
          <w:caps w:val="false"/>
          <w:smallCaps w:val="false"/>
          <w:sz w:val="20"/>
        </w:rPr>
        <w:t xml:space="preserve">” means an authenticating agent with respect to all or any of the series of Securities appointed by the Trustee pursuant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Law</w:t>
      </w:r>
      <w:r>
        <w:rPr>
          <w:rFonts w:ascii="Times New Roman;Times;Serif" w:hAnsi="Times New Roman;Times;Serif"/>
          <w:b w:val="false"/>
          <w:i w:val="false"/>
          <w:caps w:val="false"/>
          <w:smallCaps w:val="false"/>
          <w:sz w:val="20"/>
        </w:rPr>
        <w:t>” means Title 11, U.S. Code, Part V of the Companies Act (as amended) of the Cayman Islands, the Companies Winding-Up Rules, 2018 of the Cayman Islands, the Insolvency Practitioner’s Regulations, 2018 of the Cayman Islands, and the Foreign Bankruptcy Proceedings (International Cooperation) Rules, 2018 of the Cayman Islands, each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(or the functional equivalent thereof) of the Company or any duly authorized committee of such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an Officer of the Company to have been duly adopted by the Board of Directors and to be in full force and effect on the date of such certification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series of Securities, any day other than a day on which federal or state banking institutions in the Borough of Manhattan, the City of New York, or at a place of payment, are authorized or obligated by law, executive order or regulation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MoonLake Immunotherapeutics, a Cayman Islands exempted company limited by shares, and, subject to the provisions of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shall also include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order of the Company, signed by an Officer of the Company,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administered, which office at the date hereof is located at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Defaulted Interest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means, with respect to Securities of a particular series, any event specified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continued for the period of time, if any, therein designated.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United States Securities Exchange Act of 1934, as amended, and the rules and regulations promulgated by the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Security</w:t>
      </w:r>
      <w:r>
        <w:rPr>
          <w:rFonts w:ascii="Times New Roman;Times;Serif" w:hAnsi="Times New Roman;Times;Serif"/>
          <w:b w:val="false"/>
          <w:i w:val="false"/>
          <w:caps w:val="false"/>
          <w:smallCaps w:val="false"/>
          <w:sz w:val="20"/>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Obligations</w:t>
      </w:r>
      <w:r>
        <w:rPr>
          <w:rFonts w:ascii="Times New Roman;Times;Serif" w:hAnsi="Times New Roman;Times;Serif"/>
          <w:b w:val="false"/>
          <w:i w:val="false"/>
          <w:caps w:val="false"/>
          <w:smallCaps w:val="false"/>
          <w:sz w:val="20"/>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hereof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and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hereunder</w:t>
      </w:r>
      <w:r>
        <w:rPr>
          <w:rFonts w:ascii="Times New Roman;Times;Serif" w:hAnsi="Times New Roman;Times;Serif"/>
          <w:b w:val="false"/>
          <w:i w:val="false"/>
          <w:caps w:val="false"/>
          <w:smallCaps w:val="false"/>
          <w:sz w:val="20"/>
        </w:rPr>
        <w:t>”, and other words of similar import, refer to this Indenture as a whole and not to any particular Article, Section or other subdivision.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 any director of the Company or any other formally appointed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xml:space="preserve">” means a certificate signed by any Officer. Each such certificate shall include the statements provided for in </w:t>
      </w:r>
      <w:r>
        <w:rPr>
          <w:rFonts w:ascii="Times New Roman;Times;Serif" w:hAnsi="Times New Roman;Times;Serif"/>
          <w:b w:val="false"/>
          <w:i w:val="false"/>
          <w:caps w:val="false"/>
          <w:smallCaps w:val="false"/>
          <w:sz w:val="20"/>
          <w:u w:val="single"/>
        </w:rPr>
        <w:t>Section 13.07</w:t>
      </w:r>
      <w:r>
        <w:rPr>
          <w:rFonts w:ascii="Times New Roman;Times;Serif" w:hAnsi="Times New Roman;Times;Serif"/>
          <w:b w:val="false"/>
          <w:i w:val="false"/>
          <w:caps w:val="false"/>
          <w:smallCaps w:val="false"/>
          <w:sz w:val="20"/>
        </w:rPr>
        <w:t>, if and to the extent required by the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w:t>
      </w:r>
      <w:r>
        <w:rPr>
          <w:rFonts w:ascii="Times New Roman;Times;Serif" w:hAnsi="Times New Roman;Times;Serif"/>
          <w:b w:val="false"/>
          <w:i w:val="false"/>
          <w:caps w:val="false"/>
          <w:smallCaps w:val="false"/>
          <w:sz w:val="20"/>
          <w:u w:val="single"/>
        </w:rPr>
        <w:t>Section 13.07</w:t>
      </w:r>
      <w:r>
        <w:rPr>
          <w:rFonts w:ascii="Times New Roman;Times;Serif" w:hAnsi="Times New Roman;Times;Serif"/>
          <w:b w:val="false"/>
          <w:i w:val="false"/>
          <w:caps w:val="false"/>
          <w:smallCaps w:val="false"/>
          <w:sz w:val="20"/>
        </w:rPr>
        <w:t>, if and to the extent required by the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xml:space="preserve">”, when used with reference to Securities of any series, means, subject to the provisions of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if such Securities or portions of such Securities are to be redeemed prior to the maturity thereof, notice of such redemption shall have been given as provided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or provision satisfactory to the Trustee shall have been made for giving such notice; and (c) Securities in lieu of or in substitution for which other Securities shall have been authenticated and delivered pursuant to the terms of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Predecessor Security</w:t>
      </w:r>
      <w:r>
        <w:rPr>
          <w:rFonts w:ascii="Times New Roman;Times;Serif" w:hAnsi="Times New Roman;Times;Serif"/>
          <w:b w:val="false"/>
          <w:i w:val="false"/>
          <w:caps w:val="false"/>
          <w:smallCaps w:val="false"/>
          <w:sz w:val="20"/>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in lieu of a lost, destroyed or stolen Security shall be deemed to evidence the same debt as the lost, destroyed or stolen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and more particularly means any Securities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registered holder</w:t>
      </w:r>
      <w:r>
        <w:rPr>
          <w:rFonts w:ascii="Times New Roman;Times;Serif" w:hAnsi="Times New Roman;Times;Serif"/>
          <w:b w:val="false"/>
          <w:i w:val="false"/>
          <w:caps w:val="false"/>
          <w:smallCaps w:val="false"/>
          <w:sz w:val="20"/>
        </w:rPr>
        <w:t>”, or other similar term, means the Person or Persons in whose name or names a particular Security is registered on the Security Register kept for that purpose in accordance with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Security Registrar</w:t>
      </w:r>
      <w:r>
        <w:rPr>
          <w:rFonts w:ascii="Times New Roman;Times;Serif" w:hAnsi="Times New Roman;Times;Serif"/>
          <w:b w:val="false"/>
          <w:i w:val="false"/>
          <w:caps w:val="false"/>
          <w:smallCaps w:val="false"/>
          <w:sz w:val="20"/>
        </w:rPr>
        <w:t xml:space="preserve">” shall have the meanings as set forth in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corporation or company a majority of whose capital stock with voting power, under ordinary circumstances, to elect directors is, at the date of determination, directly or indirectly, owned by such Person (a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by one or more subsidiaries of such Person or by such Person and one or more subsidiaries of such Person;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partnership in which such Person or a subsidiary of such Person is, at the date of determination, a general partner of such partnership; or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xml:space="preserve">” means, and, subject to the provisions of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shall also include its successors and assigns, and, if at any time there is more than one Person acting in such capacity hereunder,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shall mean each such Person. The term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used with respect to a particular series of the Securities shall mean the trustee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 and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dollar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means the lawful currency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DESCRIPTION, TERMS, EXECUTION, REGISTRATION AND EXCHANGE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Designation and Terms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Securities of the series (which shall distinguish the Securities of that series from all other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date or dates on which the principal of the Securities of the series is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rate or rates at which the Securities of the series shall bear interest or the manner of calculation of such rate or rates,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right, if any, to extend the interest payment periods and the duration of such extension;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period or periods within which, the price or prices at which and the terms and conditions upon which Securities of the series may be redeemed, converted or exchanged, in whole or in part;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form of the Securities of the series including the form of the Certificate of Authentication for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if other than minimum denominations of one thousand U.S. dollars ($1,000) or any integral multiple of $1,000 thereof, the denominations in which the Securities of the series shall be issuable;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whether the Securities will be convertible into or exchangeable for ordinary shares, preference shares, shares of common stock, preferred stock or other securities (as applicable)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if other than the full principal amount thereof, the portion of the principal amount of Securities of the series which shall be payable upon declaration of acceleration of the maturity thereof pursuant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any additional or alternative Events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shares or capital stock (as applicable) of the Company or the Company’s Subsidiaries; redeem shares or capital stock (as applicable); place restrictions on the Company’s Subsidiaries’ ability to pay dividends, make distributions or transfer assets; make investments or other restricted payments; sell or otherwise dispose of assets; enter into sale-leaseback transactions; engage in transactions with shareholders or stockholders (as applicable) or affiliates; issue or sell shares or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whether interest will be payable in cash or additional Securities at the Company’s or the Securityholders’ option and the terms and conditions upon which the election may be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terms and conditions, if any, upon which the Company shall pay amounts in addition to the stated interest, premium, if any and principal amounts of the Securities of the series to any Securityholder that is not a “</w:t>
      </w:r>
      <w:r>
        <w:rPr>
          <w:rFonts w:ascii="Times New Roman;Times;Serif" w:hAnsi="Times New Roman;Times;Serif"/>
          <w:b/>
          <w:i w:val="false"/>
          <w:caps w:val="false"/>
          <w:smallCaps w:val="false"/>
          <w:sz w:val="20"/>
        </w:rPr>
        <w:t>United States person</w:t>
      </w:r>
      <w:r>
        <w:rPr>
          <w:rFonts w:ascii="Times New Roman;Times;Serif" w:hAnsi="Times New Roman;Times;Serif"/>
          <w:b w:val="false"/>
          <w:i w:val="false"/>
          <w:caps w:val="false"/>
          <w:smallCaps w:val="false"/>
          <w:sz w:val="20"/>
        </w:rPr>
        <w:t>” for federal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additional or alternative provisions, if any, related to defeasance and discharge of the offered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applicability of any guarantees;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any restrictions on transfer, sale or assignment of the Securities of the series;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any other terms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may otherwise be provided in or pursuant to any such Board Resolution or in any indentures supplemental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of the Company, a copy of an appropriate record of such action shall be certified by an Officer of the Company and delivered to the Trustee at or prior to the delivery of the Officer’s Certificate of the Company setting forth the terms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Form of Securities and Trustee’s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Denominations: Provisions for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 </w:t>
      </w:r>
      <w:r>
        <w:rPr>
          <w:rFonts w:ascii="Times New Roman;Times;Serif" w:hAnsi="Times New Roman;Times;Serif"/>
          <w:b w:val="false"/>
          <w:i w:val="false"/>
          <w:caps w:val="false"/>
          <w:smallCaps w:val="false"/>
          <w:sz w:val="20"/>
          <w:u w:val="single"/>
        </w:rPr>
        <w:t>Section 2.01(a)(18)</w:t>
      </w:r>
      <w:r>
        <w:rPr>
          <w:rFonts w:ascii="Times New Roman;Times;Serif" w:hAnsi="Times New Roman;Times;Serif"/>
          <w:b w:val="false"/>
          <w:i w:val="false"/>
          <w:caps w:val="false"/>
          <w:smallCaps w:val="false"/>
          <w:sz w:val="20"/>
        </w:rPr>
        <w:t>,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that is payable, but is not punctually paid or duly provided for, on any Interest Payment Date for Securities of the same series (herein called “</w:t>
      </w:r>
      <w:r>
        <w:rPr>
          <w:rFonts w:ascii="Times New Roman;Times;Serif" w:hAnsi="Times New Roman;Times;Serif"/>
          <w:b/>
          <w:i w:val="false"/>
          <w:caps w:val="false"/>
          <w:smallCaps w:val="false"/>
          <w:sz w:val="20"/>
        </w:rPr>
        <w:t>Defaulted Interest</w:t>
      </w:r>
      <w:r>
        <w:rPr>
          <w:rFonts w:ascii="Times New Roman;Times;Serif" w:hAnsi="Times New Roman;Times;Serif"/>
          <w:b w:val="false"/>
          <w:i w:val="false"/>
          <w:caps w:val="false"/>
          <w:smallCaps w:val="false"/>
          <w:sz w:val="20"/>
        </w:rPr>
        <w: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set forth in a Board Resolution or one or more indentures supplemental hereto establishing the terms of any series of Securities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hereof, the term “</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xml:space="preserve">” as used in this Section with respect to a series of Securities and any Interest Payment Date for such series shall mean either (i) the fifteenth day of the month immediately preceding the month in which an Interest Payment Date established for such series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hereof shall occur, if such Interest Payment Date is the first day of a month, or (ii) the first day of the month in which an Interest Payment Date established for such series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hereof shall occur, if such Interest Payment Date is the fifteenth day of a month, whether or not such date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Execution and Authentications.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signed on behalf of the Company by one of its Officers. Signatures may be in the form of a manual or facsimile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use the facsimile signature of any Person who shall have been a director or an Officer, notwithstanding the fact that at the time the Securities shall be authenticated and delivered or disposed of such Person shall have ceased to be such a director or an officer of the Company. The Securities may contain such notations, legends or endorsements required by law, stock exchange rule or usage. Each Security shall be dated the date of its authentication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authenticating such Securities and accepting the additional responsibilities under this Indenture in relation to such Securities, the Trustee shall receive, and (subject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Registration of Transfer and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keep, or cause to be kept, at its office or agency designated for such purpose a register or registers (herein referred to as the “</w:t>
      </w:r>
      <w:r>
        <w:rPr>
          <w:rFonts w:ascii="Times New Roman;Times;Serif" w:hAnsi="Times New Roman;Times;Serif"/>
          <w:b/>
          <w:i w:val="false"/>
          <w:caps w:val="false"/>
          <w:smallCaps w:val="false"/>
          <w:sz w:val="20"/>
        </w:rPr>
        <w:t>Security Register</w:t>
      </w:r>
      <w:r>
        <w:rPr>
          <w:rFonts w:ascii="Times New Roman;Times;Serif" w:hAnsi="Times New Roman;Times;Serif"/>
          <w:b w:val="false"/>
          <w:i w:val="false"/>
          <w:caps w:val="false"/>
          <w:smallCaps w:val="false"/>
          <w:sz w:val="20"/>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Times New Roman;Times;Serif" w:hAnsi="Times New Roman;Times;Serif"/>
          <w:b/>
          <w:i w:val="false"/>
          <w:caps w:val="false"/>
          <w:smallCaps w:val="false"/>
          <w:sz w:val="20"/>
        </w:rPr>
        <w:t>Security Registrar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provided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not involving any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are, with respect to any Global Security, subject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Trustee nor any agent shall have any responsibility or liability for any actions taken or not taken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Temporary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Mutilated, Destroyed, Lost or Stolen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the purpose of payment, redemption, exchange or registration of transfer shall, if surrendered to the Company or any paying agent, be delivered to the Trustee for cancellation, or, if surrendered to the Trustee, shall be canceled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Benefits of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in this Indenture or in the Securities, express or implied, shall give or be construed to give to any Person, other than the parties hereto and the holders of the Securities (and, with respect to the provisions of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xml:space="preserve">,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the holders of any indebtedness of the Company to which the Securities of any series are subordinated).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Authenticating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Global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Company shall establish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that the Securities of a particular series are to be issued as a Global Security, then the Company shall execute and the Trustee shall, in accordance with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held by it, pursuant to the Depositary’s instruction and (iv) shall bear a legend substantially to the following effect: “</w:t>
      </w:r>
      <w:r>
        <w:rPr>
          <w:rFonts w:ascii="Times New Roman;Times;Serif" w:hAnsi="Times New Roman;Times;Serif"/>
          <w:b/>
          <w:i w:val="false"/>
          <w:caps w:val="false"/>
          <w:smallCaps w:val="false"/>
          <w:sz w:val="20"/>
        </w:rPr>
        <w:t xml:space="preserve">Except as otherwise provided in </w:t>
      </w:r>
      <w:r>
        <w:rPr>
          <w:rFonts w:ascii="Times New Roman;Times;Serif" w:hAnsi="Times New Roman;Times;Serif"/>
          <w:b/>
          <w:i w:val="false"/>
          <w:caps w:val="false"/>
          <w:smallCaps w:val="false"/>
          <w:sz w:val="20"/>
          <w:u w:val="single"/>
        </w:rPr>
        <w:t>Section 2.11</w:t>
      </w:r>
      <w:r>
        <w:rPr>
          <w:rFonts w:ascii="Times New Roman;Times;Serif" w:hAnsi="Times New Roman;Times;Serif"/>
          <w:b/>
          <w:i w:val="false"/>
          <w:caps w:val="false"/>
          <w:smallCaps w:val="false"/>
          <w:sz w:val="20"/>
        </w:rPr>
        <w:t xml:space="preserve"> of the Indenture, this Security may be transferred, in whole but not in part, only to another nominee of the Depositary or to a successor Depositary or to a nominee of such successor Depositary.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provisions of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the Global Security of a series may be transferred, in whole but not in part and in the manner provided in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only to another nominee of the Depositary for such series, or to a successor Depositary for such series selected or approved by the Company or to a nominee of such successor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no longer be applicable to the Securities of such series and the Company will execute, and subject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no longer apply to the Securities of such series. In such event the Company will execute and, subject to Section 2.04,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SECURITIES AND SINKING FUND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redeem the Securities of any series issued hereunder on and after the dates and in accordance with the terms established for such series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Notice of Redemption.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case the Company shall desire to exercise such right to redeem all or, as the case may be, a portion of the Securities of any series in accordance with any right the Company reserved for itself to do so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 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(with a copy to the 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 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Payment Upon Redemption.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Sinking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w:t>
      </w:r>
      <w:r>
        <w:rPr>
          <w:rFonts w:ascii="Times New Roman;Times;Serif" w:hAnsi="Times New Roman;Times;Serif"/>
          <w:b w:val="false"/>
          <w:i w:val="false"/>
          <w:caps w:val="false"/>
          <w:smallCaps w:val="false"/>
          <w:sz w:val="20"/>
          <w:u w:val="single"/>
        </w:rPr>
        <w:t>Sections 3.04</w:t>
      </w:r>
      <w:r>
        <w:rPr>
          <w:rFonts w:ascii="Times New Roman;Times;Serif" w:hAnsi="Times New Roman;Times;Serif"/>
          <w:b w:val="false"/>
          <w:i w:val="false"/>
          <w:caps w:val="false"/>
          <w:smallCaps w:val="false"/>
          <w:sz w:val="20"/>
        </w:rPr>
        <w:t xml:space="preserve">, 3.05 and 3.06 shall be applicable to any sinking fund for the retirement of Securities of a series, except as otherwise specified as contemplated by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for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w:t>
      </w:r>
      <w:r>
        <w:rPr>
          <w:rFonts w:ascii="Times New Roman;Times;Serif" w:hAnsi="Times New Roman;Times;Serif"/>
          <w:b/>
          <w:i w:val="false"/>
          <w:caps w:val="false"/>
          <w:smallCaps w:val="false"/>
          <w:sz w:val="20"/>
        </w:rPr>
        <w:t>mandatory sinking fund payment</w:t>
      </w:r>
      <w:r>
        <w:rPr>
          <w:rFonts w:ascii="Times New Roman;Times;Serif" w:hAnsi="Times New Roman;Times;Serif"/>
          <w:b w:val="false"/>
          <w:i w:val="false"/>
          <w:caps w:val="false"/>
          <w:smallCaps w:val="false"/>
          <w:sz w:val="20"/>
        </w:rPr>
        <w:t>,” and any payment in excess of such minimum amount provided for by the terms of Securities of any series is herein referred to as an “</w:t>
      </w:r>
      <w:r>
        <w:rPr>
          <w:rFonts w:ascii="Times New Roman;Times;Serif" w:hAnsi="Times New Roman;Times;Serif"/>
          <w:b/>
          <w:i w:val="false"/>
          <w:caps w:val="false"/>
          <w:smallCaps w:val="false"/>
          <w:sz w:val="20"/>
        </w:rPr>
        <w:t>optional sinking fund payment</w:t>
      </w:r>
      <w:r>
        <w:rPr>
          <w:rFonts w:ascii="Times New Roman;Times;Serif" w:hAnsi="Times New Roman;Times;Serif"/>
          <w:b w:val="false"/>
          <w:i w:val="false"/>
          <w:caps w:val="false"/>
          <w:smallCaps w:val="false"/>
          <w:sz w:val="20"/>
        </w:rPr>
        <w:t xml:space="preserve">”. If provided for by the terms of Securities of any series, the cash amount of any sinking fund payment may be subject to reduction as provided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Each sinking fund payment shall be applied to the redemption of Securities of any series as provided for by the terms of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Satisfaction of Sinking Fund Payments with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Redemption of Securities for Sinking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and cause notice of the redemption thereof to be given in the name of and at the expense of the Company in the manner provided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Such notice having been duly given, the redemption of such Securities shall be made upon the terms and in the manner stated in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Payment of Principal, Premium and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Maintenance of Office or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 long as any series of the Securities remain Outstanding, the Company agrees to maintain an office or agency with respect to each such series and at such other location or locations as may be designated as provided in this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where (i) Securities of that series may be presented for payment, (ii) 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Paying Agents.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it will, at any time during the continuance of any failure referred to in the preceding paragraph (a)(2) above, upon the written request of the Trustee, forthwith pay to the Trustee all sums so held in trust by such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upon any receivership, insolvency, liquidation, bankruptcy, reorganization, readjustment, arrangement, composition or judicial proceedings affecting the Company, the Trustee will automatically be the paying agent;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it will perform all other duties of paying agent as set forth in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in this Section to the contrary, (i) the agreement to hold sums in trust as provided in this Section is subject to the provisions of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initially appoints the Trustee at its Corporate Trust Office as its paying agent with respect to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Appointment to Fill Vacancy in Office of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whenever necessary to avoid or fill a vacancy in the office of Trustee, will appoint, in the manner provided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a Trustee, so that there shall at all times be a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Compliance with Consolidation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hereof are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SECURITYHOLDERS’ LISTS AND REPORTS BY THE COMPANY AND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Company to Furnish Trustee Names and Addresses of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furnish or cause to be furnished to the Trustee (a) within 5 days after each regular record date (as defined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a list, in such form as the Trustee may reasonably require, of the names and addresses of the holders of each series of Securities as of such regular record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Company shall not be obligated to furnish or cause to be furnished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in either case, no such list need be furnished for any series for which the Trustee shall be the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Preservation of Information; Communications With Securityholders.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Trustee shall preserve, in as current a form as is reasonably practicable, all information as to the names and addresses of the holders of Securities contained in the most recent list furnished to it as provided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and as to the names and addresses of holders of Securities received by the Trustee in its capacity as Security Registrar (if acting in such capacity).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Trustee may destroy any list furnished to it as provided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upon receipt of a new list so furnished.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Reports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the Company shall not be required to deliver to the Trustee any materials for which the Company has sought and received confidential treatment by the Commission;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Delivery of reports, information and documents to the Trustee under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its covenants thereunder (as to which the Trustee is entitled to rely exclusively on an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Reports by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required by Section 313(a) of the Trust Indenture Act, the Trustee, within sixty (60) days after each May 15, 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comply with Sections 313(b) and 313(c) of the Trust Indenture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 OF THE TRUSTEE AND SECURITYHOLDERS ON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Whenever used herein with respect to Securities of a particular series,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means any one or more of the following events that has occurred and is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Company defaults in the payment of any installment of interest upon any of the Securities of that series, as and when the same shall become due and payable, and such default continues for a period of 90 days;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a valid extension of an interest payment period by the Company in accordance with the terms of any indenture supplemental hereto shall not constitute a default in the payment of interest for this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a valid extension of the maturity of such Securities in accordance with the terms of any indenture supplemental hereto shall not constitute a default in the payment of principal or premium,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Company fails to observe or perform any other of its covenants or agreements with respect to that series contained in this Indenture or otherwise established with respect to that series of Securities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Times New Roman;Times;Serif" w:hAnsi="Times New Roman;Times;Serif"/>
          <w:b/>
          <w:i w:val="false"/>
          <w:caps w:val="false"/>
          <w:smallCaps w:val="false"/>
          <w:sz w:val="20"/>
        </w:rPr>
        <w:t>Notice of Default</w:t>
      </w:r>
      <w:r>
        <w:rPr>
          <w:rFonts w:ascii="Times New Roman;Times;Serif" w:hAnsi="Times New Roman;Times;Serif"/>
          <w:b w:val="false"/>
          <w:i w:val="false"/>
          <w:caps w:val="false"/>
          <w:smallCaps w:val="false"/>
          <w:sz w:val="20"/>
        </w:rPr>
        <w:t>” hereunder, shall have been given to the Company by the Trustee or to the Company and the Trustee by the holders of at least 25% in principal amount of the Securities of that series at the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and annulment shall extend to or shall affect any subsequent default or impair any right consequent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Collection of Indebtedness and Suits for Enforcement by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case of any receivership, insolvency, liquidation, bankruptcy, reorganization, readjustment, arrangement, composition or judicial proceedings affecting the Company, or its creditors or property, irrespective of whether the Trustee shall have made any demand pursuant to this Section 6.02,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be for the ratable benefit of the holders of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Application of Moneys Collected.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xml:space="preserve">: To the payment of all indebtedness of the Company to which such series of Securities is subordinated to the extent required by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and any subordination terms of the series specified as contemplated by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To the payment of the remainder, if any, to the Company or any other Person lawfully entitled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Limitation on Suits.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Rights and Remedies Cumulative; Delay or Omission Not Waiver.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provided in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every power and remedy given by this Article or by law to the Trustee or the Securityholders may be exercised from time to time, and as often as shall be deemed expedient, by the Trustee or by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val="false"/>
          <w:caps w:val="false"/>
          <w:smallCaps w:val="false"/>
          <w:sz w:val="20"/>
          <w:u w:val="single"/>
        </w:rPr>
        <w:t>Control by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a majority in aggregate principal amount of the Securities of any series at the time Outstanding, determined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shall have the right to direct the time, method and place of conducting any proceeding for any remedy available to the Trustee, or exercising any trust or power conferred on the Trustee with respect to such series;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such direction shall not be in conflict with any rule of law or with this Indenture or subject the Trustee in its sole discretion to personal liability. The Trustee shall have the right 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may on behalf of the holders of all of the Securities of such series waive any past default in the performance of any of the covenants contained herein or established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val="false"/>
          <w:caps w:val="false"/>
          <w:smallCaps w:val="false"/>
          <w:sz w:val="20"/>
          <w:u w:val="single"/>
        </w:rPr>
        <w:t>Undertaking to Pay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Certain Duties and Responsibilities of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prior to the occurrence of an Event of Default with respect to the Securities of a series and after the curing or waiving of all such Events of Default with respect to that series that may have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not be liable for any error of judgment made in good faith by a Responsible Officer or Responsible Officers of the Trustee, unless it shall be proved that the Trustee was negligent in ascertaining the pertinent facts;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Certain Rights of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incurred therein or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any action taken or omitted to be taken by it in good faith and believed by it to be authorized or within the discretion or rights or powers conferred upon it by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the payment within a reasonable time to the Trustee of the costs, expenses, claims or liabilities likely to be incurred by 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permissive rights of the Trustee enumerated herein shall not be construed as duties;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may request that the Company deliver a certificate setting forth the names of individuals and/or titles of officers authorized at such time to take specified actions pursuant to this Indenture;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required to give any bond or surety in respect of the performance of its powers and duties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Trustee Not Responsible for Recitals or Issuance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recitals contained herein and in the Securities shall be taken as the statements of the Company, and the Trustee assumes no responsibility for the correctness of the same.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makes no representations as to the validity or sufficiency of this Indenture or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or for the use or application of any moneys received by any paying agent other than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May Hold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Moneys Held in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Compensation and Reimbursement.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 </w:t>
      </w:r>
      <w:r>
        <w:rPr>
          <w:rFonts w:ascii="Times New Roman;Times;Serif" w:hAnsi="Times New Roman;Times;Serif"/>
          <w:b w:val="false"/>
          <w:i w:val="false"/>
          <w:caps w:val="false"/>
          <w:smallCaps w:val="false"/>
          <w:sz w:val="20"/>
          <w:u w:val="single"/>
        </w:rPr>
        <w:t>Section 6.01(a)(4)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the expenses (including the reasonable fees and expenses of its counsel) and the compensation for services in connection therewith are to constitute expenses of administration under any Bankruptcy Law. The provisions of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shall survive the termination of this Indenture and the earlier resignation or removal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Reliance on Officer’s Certificate or Opinion of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val="false"/>
          <w:caps w:val="false"/>
          <w:smallCaps w:val="false"/>
          <w:sz w:val="20"/>
          <w:u w:val="single"/>
        </w:rPr>
        <w:t>Disqualification; Conflicting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any “</w:t>
      </w:r>
      <w:r>
        <w:rPr>
          <w:rFonts w:ascii="Times New Roman;Times;Serif" w:hAnsi="Times New Roman;Times;Serif"/>
          <w:b/>
          <w:i w:val="false"/>
          <w:caps w:val="false"/>
          <w:smallCaps w:val="false"/>
          <w:sz w:val="20"/>
        </w:rPr>
        <w:t>conflicting interest</w:t>
      </w:r>
      <w:r>
        <w:rPr>
          <w:rFonts w:ascii="Times New Roman;Times;Serif" w:hAnsi="Times New Roman;Times;Serif"/>
          <w:b w:val="false"/>
          <w:i w:val="false"/>
          <w:caps w:val="false"/>
          <w:smallCaps w:val="false"/>
          <w:sz w:val="20"/>
        </w:rPr>
        <w:t>” within the meaning of Section 310(b) of the Trust Indenture Act, the Trustee and the Company shall in all respects comply with the provisions of Section 310(b)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val="false"/>
          <w:caps w:val="false"/>
          <w:smallCaps w:val="false"/>
          <w:sz w:val="20"/>
          <w:u w:val="single"/>
        </w:rPr>
        <w:t>Corporate Trustee Required; Eligibility.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Resignation and Removal; Appointment of Successor.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one of the following shall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Trustee shall fail to comply with the provisions of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after written request therefor by the Company or by any Securityholder who has been a bona fide holder of a Security or Securities for at least six months;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Trustee shall cease to be eligible in accordance with the provisions of </w:t>
      </w:r>
      <w:r>
        <w:rPr>
          <w:rFonts w:ascii="Times New Roman;Times;Serif" w:hAnsi="Times New Roman;Times;Serif"/>
          <w:b w:val="false"/>
          <w:i w:val="false"/>
          <w:caps w:val="false"/>
          <w:smallCaps w:val="false"/>
          <w:sz w:val="20"/>
          <w:u w:val="single"/>
        </w:rPr>
        <w:t>Section 7.09</w:t>
      </w:r>
      <w:r>
        <w:rPr>
          <w:rFonts w:ascii="Times New Roman;Times;Serif" w:hAnsi="Times New Roman;Times;Serif"/>
          <w:b w:val="false"/>
          <w:i w:val="false"/>
          <w:caps w:val="false"/>
          <w:smallCaps w:val="false"/>
          <w:sz w:val="20"/>
        </w:rPr>
        <w:t xml:space="preserve"> and shall fail to resign after written request therefor by the Company or by any such Securityholder;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resignation or removal of the Trustee and appointment of a successor trustee with respect to the Securities of a series pursuant to any of the provisions of this Section shall become effective upon acceptance of appointment by the successor trustee as provided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Acceptance of Appointment By Successor.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successor trustee shall accept its appointment unless at the time of such acceptance such successor trustee shall be qualified and eligible under this Article.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Merger, Conversion, Consolidation or Succession to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corporation shall be qualified under the provisions of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and eligible under the provisions of </w:t>
      </w:r>
      <w:r>
        <w:rPr>
          <w:rFonts w:ascii="Times New Roman;Times;Serif" w:hAnsi="Times New Roman;Times;Serif"/>
          <w:b w:val="false"/>
          <w:i w:val="false"/>
          <w:caps w:val="false"/>
          <w:smallCaps w:val="false"/>
          <w:sz w:val="20"/>
          <w:u w:val="single"/>
        </w:rPr>
        <w:t>Section 7.09</w:t>
      </w:r>
      <w:r>
        <w:rPr>
          <w:rFonts w:ascii="Times New Roman;Times;Serif" w:hAnsi="Times New Roman;Times;Serif"/>
          <w:b w:val="false"/>
          <w:i w:val="false"/>
          <w:caps w:val="false"/>
          <w:smallCaps w:val="false"/>
          <w:sz w:val="20"/>
        </w:rPr>
        <w:t>,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Preferential Collection of Claims Against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7.14 </w:t>
      </w:r>
      <w:r>
        <w:rPr>
          <w:rFonts w:ascii="Times New Roman;Times;Serif" w:hAnsi="Times New Roman;Times;Serif"/>
          <w:b w:val="false"/>
          <w:i w:val="false"/>
          <w:caps w:val="false"/>
          <w:smallCaps w:val="false"/>
          <w:sz w:val="20"/>
          <w:u w:val="single"/>
        </w:rPr>
        <w:t>Notice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 to a Responsible Officer of the Trustee or written notice of it is received by the Trustee, unless such Event of Default has been cured;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Evidence of Action by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Whenever in this Indenture it is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Proof of Execution by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proof of the execution of any instrument by a Securityholder (such proof will not require notarization) or his agent or proxy and proof of the holding by any Person of any of the Securities shall be sufficient if made in the following manner: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fact and date of the execution by any such Person of any instrument may be proved in any reasonable manner acceptable to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ownership of Securities shall be proved by the Security Register of such Securities or by a certificate of the Security Registrar thereof. The Trustee may require such additional proof of any matter referred to in this Section as it shall deem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rPr>
        <w:t>Who May Be Deemed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interest on such Security and for all other purposes; and neither the Company nor the Trustee nor any paying agent nor any Security Registrar shall be affected by any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val="false"/>
          <w:caps w:val="false"/>
          <w:smallCaps w:val="false"/>
          <w:sz w:val="20"/>
          <w:u w:val="single"/>
        </w:rPr>
        <w:t>Certain Securities Owned by Company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val="false"/>
          <w:caps w:val="false"/>
          <w:smallCaps w:val="false"/>
          <w:sz w:val="20"/>
          <w:u w:val="single"/>
        </w:rPr>
        <w:t>Actions Binding on Future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prior to (but not after) the evidencing to the Trustee, as provided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Supplemental Indentures Without the Consent of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defect, or inconsistency herein or in the Securities of any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comply with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for uncertificated Securities in addition to or in place of certificated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delete from, or revise the conditions, limitations, and restrictions on the authorized amount, terms, or purposes of issue, authentication, and delivery of Securities, as herein set forth;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make any change that does not adversely affect the rights of any Securityholder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to provide for the issuance of and establish the form and terms and conditions of the Securities of any series as provided in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to establish the form of any certifications required to be furnished pursuant to the terms of this Indenture or any series of Securities, or to add to the rights of the holders of any series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evidence and provide for the acceptance of appointment hereunder by a successor trustee or to appoint a separate trustee with respect to any series;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comply with any requirements of the Commission or any successor in connection with the qualification of this Indenture under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supplemental indenture authorized by the provisions of this Section may be executed by the Company and the Trustee without the consent of the holders of any of the Securities at the time Outstanding, notwithstanding any of the provisions of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val="false"/>
          <w:caps w:val="false"/>
          <w:smallCaps w:val="false"/>
          <w:sz w:val="20"/>
          <w:u w:val="single"/>
        </w:rPr>
        <w:t>Supplemental Indentures With Consent of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the consent (evidenced as provided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the rights of the holders of the Securities of such series under this Indenture;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val="false"/>
          <w:caps w:val="false"/>
          <w:smallCaps w:val="false"/>
          <w:sz w:val="20"/>
          <w:u w:val="single"/>
        </w:rPr>
        <w:t>Effect of Supplemental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execution of any supplemental indenture pursuant to the provisions of this Article or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val="false"/>
          <w:caps w:val="false"/>
          <w:smallCaps w:val="false"/>
          <w:sz w:val="20"/>
          <w:u w:val="single"/>
        </w:rPr>
        <w:t>Securities Affected by Supplemental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of any series affected by a supplemental indenture, authenticated and delivered after the execution of such supplemental indenture pursuant to the provisions of this Article or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val="false"/>
          <w:caps w:val="false"/>
          <w:smallCaps w:val="false"/>
          <w:sz w:val="20"/>
          <w:u w:val="single"/>
        </w:rPr>
        <w:t>Execution of Supplemental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Company May Consolidate,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(a) the Company hereby covenants and agrees that, upon any such consolidation or merger (in each case, if the Company is not the survivor of such transaction), sale, conveyance, transfer or other disposition, the due and punctual payment of the principal of (and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comply with this Section 10.01 and that all conditions precedent herein relating to the transaction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Successor Entity Substituted.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case of any such consolidation, merger, sale, conveyance, transfer or other disposition and upon the assumption by the successor entity by supplemental indenture, executed and delivered to the Trustee, of the obligations set forth under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val="false"/>
          <w:caps w:val="false"/>
          <w:smallCaps w:val="false"/>
          <w:sz w:val="20"/>
          <w:u w:val="single"/>
        </w:rPr>
        <w:t>Satisfaction and Discharge of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and Securities for whose payment money or Governmental Obligations have theretofore been deposited in trust or segregated and held in trust by the Company and thereupon repaid to the Company or discharged from such trust, as provided in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xml:space="preserve">);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w:t>
      </w:r>
      <w:r>
        <w:rPr>
          <w:rFonts w:ascii="Times New Roman;Times;Serif" w:hAnsi="Times New Roman;Times;Serif"/>
          <w:b w:val="false"/>
          <w:i w:val="false"/>
          <w:caps w:val="false"/>
          <w:smallCaps w:val="false"/>
          <w:sz w:val="20"/>
          <w:u w:val="single"/>
        </w:rPr>
        <w:t>Sections 2.03</w:t>
      </w:r>
      <w:r>
        <w:rPr>
          <w:rFonts w:ascii="Times New Roman;Times;Serif" w:hAnsi="Times New Roman;Times;Serif"/>
          <w:b w:val="false"/>
          <w:i w:val="false"/>
          <w:caps w:val="false"/>
          <w:smallCaps w:val="false"/>
          <w:sz w:val="20"/>
        </w:rPr>
        <w:t xml:space="preserve">, 2.05, 2.07, 4.01, 4.02, </w:t>
      </w:r>
      <w:r>
        <w:rPr>
          <w:rFonts w:ascii="Times New Roman;Times;Serif" w:hAnsi="Times New Roman;Times;Serif"/>
          <w:b w:val="false"/>
          <w:i w:val="false"/>
          <w:caps w:val="false"/>
          <w:smallCaps w:val="false"/>
          <w:sz w:val="20"/>
          <w:u w:val="single"/>
        </w:rPr>
        <w:t>4.03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7.10</w:t>
      </w:r>
      <w:r>
        <w:rPr>
          <w:rFonts w:ascii="Times New Roman;Times;Serif" w:hAnsi="Times New Roman;Times;Serif"/>
          <w:b w:val="false"/>
          <w:i w:val="false"/>
          <w:caps w:val="false"/>
          <w:smallCaps w:val="false"/>
          <w:sz w:val="20"/>
        </w:rPr>
        <w:t xml:space="preserve">, that shall survive until the date of maturity or redemption date, as the case may be, and </w:t>
      </w:r>
      <w:r>
        <w:rPr>
          <w:rFonts w:ascii="Times New Roman;Times;Serif" w:hAnsi="Times New Roman;Times;Serif"/>
          <w:b w:val="false"/>
          <w:i w:val="false"/>
          <w:caps w:val="false"/>
          <w:smallCaps w:val="false"/>
          <w:sz w:val="20"/>
          <w:u w:val="single"/>
        </w:rPr>
        <w:t xml:space="preserve">Sections 7.06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11.05</w:t>
      </w:r>
      <w:r>
        <w:rPr>
          <w:rFonts w:ascii="Times New Roman;Times;Serif" w:hAnsi="Times New Roman;Times;Serif"/>
          <w:b w:val="false"/>
          <w:i w:val="false"/>
          <w:caps w:val="false"/>
          <w:smallCaps w:val="false"/>
          <w:sz w:val="20"/>
        </w:rPr>
        <w:t>,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val="false"/>
          <w:caps w:val="false"/>
          <w:smallCaps w:val="false"/>
          <w:sz w:val="20"/>
          <w:u w:val="single"/>
        </w:rPr>
        <w:t>Discharge of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all such Securities of a particular series not heretofore delivered to the Trustee for cancellation or that have not become due and payable as described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w:t>
      </w:r>
      <w:r>
        <w:rPr>
          <w:rFonts w:ascii="Times New Roman;Times;Serif" w:hAnsi="Times New Roman;Times;Serif"/>
          <w:b w:val="false"/>
          <w:i w:val="false"/>
          <w:caps w:val="false"/>
          <w:smallCaps w:val="false"/>
          <w:sz w:val="20"/>
          <w:u w:val="single"/>
        </w:rPr>
        <w:t>Sections 2.03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11.05</w:t>
      </w:r>
      <w:r>
        <w:rPr>
          <w:rFonts w:ascii="Times New Roman;Times;Serif" w:hAnsi="Times New Roman;Times;Serif"/>
          <w:b w:val="false"/>
          <w:i w:val="false"/>
          <w:caps w:val="false"/>
          <w:smallCaps w:val="false"/>
          <w:sz w:val="20"/>
        </w:rPr>
        <w:t xml:space="preserve"> hereof that shall survive until such Securities shall mature and be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Thereafter, </w:t>
      </w:r>
      <w:r>
        <w:rPr>
          <w:rFonts w:ascii="Times New Roman;Times;Serif" w:hAnsi="Times New Roman;Times;Serif"/>
          <w:b w:val="false"/>
          <w:i w:val="false"/>
          <w:caps w:val="false"/>
          <w:smallCaps w:val="false"/>
          <w:sz w:val="20"/>
          <w:u w:val="single"/>
        </w:rPr>
        <w:t>Sections 7.06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11.05</w:t>
      </w:r>
      <w:r>
        <w:rPr>
          <w:rFonts w:ascii="Times New Roman;Times;Serif" w:hAnsi="Times New Roman;Times;Serif"/>
          <w:b w:val="false"/>
          <w:i w:val="false"/>
          <w:caps w:val="false"/>
          <w:smallCaps w:val="false"/>
          <w:sz w:val="20"/>
        </w:rPr>
        <w:t xml:space="preserve">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val="false"/>
          <w:caps w:val="false"/>
          <w:smallCaps w:val="false"/>
          <w:sz w:val="20"/>
          <w:u w:val="single"/>
        </w:rPr>
        <w:t>Deposited Moneys to be Held in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val="false"/>
          <w:caps w:val="false"/>
          <w:smallCaps w:val="false"/>
          <w:sz w:val="20"/>
          <w:u w:val="single"/>
        </w:rPr>
        <w:t>Payment of Moneys Held by Paying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val="false"/>
          <w:caps w:val="false"/>
          <w:smallCaps w:val="false"/>
          <w:sz w:val="20"/>
          <w:u w:val="single"/>
        </w:rPr>
        <w:t>Repayment to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IMMUNITY OF INCORPORATORS, STOCKHOLDERS,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val="false"/>
          <w:caps w:val="false"/>
          <w:smallCaps w:val="false"/>
          <w:sz w:val="20"/>
          <w:u w:val="single"/>
        </w:rPr>
        <w:t>No Recourse.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13.01 </w:t>
      </w:r>
      <w:r>
        <w:rPr>
          <w:rFonts w:ascii="Times New Roman;Times;Serif" w:hAnsi="Times New Roman;Times;Serif"/>
          <w:b w:val="false"/>
          <w:i w:val="false"/>
          <w:caps w:val="false"/>
          <w:smallCaps w:val="false"/>
          <w:sz w:val="20"/>
          <w:u w:val="single"/>
        </w:rPr>
        <w:t>Effect on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stipulations, promises and agreements in this Indenture made by or on behalf of the Company shall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13.02 </w:t>
      </w:r>
      <w:r>
        <w:rPr>
          <w:rFonts w:ascii="Times New Roman;Times;Serif" w:hAnsi="Times New Roman;Times;Serif"/>
          <w:b w:val="false"/>
          <w:i w:val="false"/>
          <w:caps w:val="false"/>
          <w:smallCaps w:val="false"/>
          <w:sz w:val="20"/>
          <w:u w:val="single"/>
        </w:rPr>
        <w:t>Actions by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13.03 </w:t>
      </w:r>
      <w:r>
        <w:rPr>
          <w:rFonts w:ascii="Times New Roman;Times;Serif" w:hAnsi="Times New Roman;Times;Serif"/>
          <w:b w:val="false"/>
          <w:i w:val="false"/>
          <w:caps w:val="false"/>
          <w:smallCaps w:val="false"/>
          <w:sz w:val="20"/>
          <w:u w:val="single"/>
        </w:rPr>
        <w:t>Surrender of Company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13.04 </w:t>
      </w:r>
      <w:r>
        <w:rPr>
          <w:rFonts w:ascii="Times New Roman;Times;Serif" w:hAnsi="Times New Roman;Times;Serif"/>
          <w:b w:val="false"/>
          <w:i w:val="false"/>
          <w:caps w:val="false"/>
          <w:smallCaps w:val="false"/>
          <w:sz w:val="20"/>
          <w:u w:val="single"/>
        </w:rPr>
        <w:t>Notices.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 filed in writing by the Company with the Trustee), as follows: MoonLake Immunotherapeutics, Dorfstrasse 29, 6300, Zug, Switzerland.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13.05 </w:t>
      </w:r>
      <w:r>
        <w:rPr>
          <w:rFonts w:ascii="Times New Roman;Times;Serif" w:hAnsi="Times New Roman;Times;Serif"/>
          <w:b w:val="false"/>
          <w:i w:val="false"/>
          <w:caps w:val="false"/>
          <w:smallCaps w:val="false"/>
          <w:sz w:val="20"/>
          <w:u w:val="single"/>
        </w:rPr>
        <w:t>Governing Law; Jury Trial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13.06 </w:t>
      </w:r>
      <w:r>
        <w:rPr>
          <w:rFonts w:ascii="Times New Roman;Times;Serif" w:hAnsi="Times New Roman;Times;Serif"/>
          <w:b w:val="false"/>
          <w:i w:val="false"/>
          <w:caps w:val="false"/>
          <w:smallCaps w:val="false"/>
          <w:sz w:val="20"/>
          <w:u w:val="single"/>
        </w:rPr>
        <w:t>Treatment of Securities as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the Securities will be treated as indebtedness and not as equity for federal income tax purposes. The provisions of this Indenture shall be interpreted to further this intention.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13.07 </w:t>
      </w:r>
      <w:r>
        <w:rPr>
          <w:rFonts w:ascii="Times New Roman;Times;Serif" w:hAnsi="Times New Roman;Times;Serif"/>
          <w:b w:val="false"/>
          <w:i w:val="false"/>
          <w:caps w:val="false"/>
          <w:smallCaps w:val="false"/>
          <w:sz w:val="20"/>
          <w:u w:val="single"/>
        </w:rPr>
        <w:t>Certificates and Opinions as to Conditions Precedent.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 </w:t>
      </w:r>
      <w:r>
        <w:rPr>
          <w:rFonts w:ascii="Times New Roman;Times;Serif" w:hAnsi="Times New Roman;Times;Serif"/>
          <w:b w:val="false"/>
          <w:i w:val="false"/>
          <w:caps w:val="false"/>
          <w:smallCaps w:val="false"/>
          <w:sz w:val="20"/>
          <w:u w:val="single"/>
        </w:rPr>
        <w:t>Section 13.12</w:t>
      </w:r>
      <w:r>
        <w:rPr>
          <w:rFonts w:ascii="Times New Roman;Times;Serif" w:hAnsi="Times New Roman;Times;Serif"/>
          <w:b w:val="false"/>
          <w:i w:val="false"/>
          <w:caps w:val="false"/>
          <w:smallCaps w:val="false"/>
          <w:sz w:val="20"/>
        </w:rPr>
        <w:t>) relating to the proposed action have been complied with and an Opinion of Counsel stating that in the opinion of such counsel all such covenants and conditions precedent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13.08 </w:t>
      </w:r>
      <w:r>
        <w:rPr>
          <w:rFonts w:ascii="Times New Roman;Times;Serif" w:hAnsi="Times New Roman;Times;Serif"/>
          <w:b w:val="false"/>
          <w:i w:val="false"/>
          <w:caps w:val="false"/>
          <w:smallCaps w:val="false"/>
          <w:sz w:val="20"/>
          <w:u w:val="single"/>
        </w:rPr>
        <w:t>Payments on Business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provided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13.09 </w:t>
      </w:r>
      <w:r>
        <w:rPr>
          <w:rFonts w:ascii="Times New Roman;Times;Serif" w:hAnsi="Times New Roman;Times;Serif"/>
          <w:b w:val="false"/>
          <w:i w:val="false"/>
          <w:caps w:val="false"/>
          <w:smallCaps w:val="false"/>
          <w:sz w:val="20"/>
          <w:u w:val="single"/>
        </w:rPr>
        <w:t>Conflict with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provision of this Indenture limits, qualifies or conflicts with the duties imposed by Sections 310 to 317, inclusive, of the Trust Indenture Act, such imposed duties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13.10 </w:t>
      </w:r>
      <w:r>
        <w:rPr>
          <w:rFonts w:ascii="Times New Roman;Times;Serif" w:hAnsi="Times New Roman;Times;Serif"/>
          <w:b w:val="false"/>
          <w:i w:val="false"/>
          <w:caps w:val="false"/>
          <w:smallCaps w:val="false"/>
          <w:sz w:val="20"/>
          <w:u w:val="single"/>
        </w:rPr>
        <w:t>Counterparts.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13.11 </w:t>
      </w:r>
      <w:r>
        <w:rPr>
          <w:rFonts w:ascii="Times New Roman;Times;Serif" w:hAnsi="Times New Roman;Times;Serif"/>
          <w:b w:val="false"/>
          <w:i w:val="false"/>
          <w:caps w:val="false"/>
          <w:smallCaps w:val="false"/>
          <w:sz w:val="20"/>
          <w:u w:val="single"/>
        </w:rPr>
        <w:t>Separability.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13.12 </w:t>
      </w:r>
      <w:r>
        <w:rPr>
          <w:rFonts w:ascii="Times New Roman;Times;Serif" w:hAnsi="Times New Roman;Times;Serif"/>
          <w:b w:val="false"/>
          <w:i w:val="false"/>
          <w:caps w:val="false"/>
          <w:smallCaps w:val="false"/>
          <w:sz w:val="20"/>
          <w:u w:val="single"/>
        </w:rPr>
        <w:t>Compliance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w:t>
      </w:r>
      <w:r>
        <w:rPr>
          <w:rFonts w:ascii="Times New Roman;Times;Serif" w:hAnsi="Times New Roman;Times;Serif"/>
          <w:b w:val="false"/>
          <w:i w:val="false"/>
          <w:caps w:val="false"/>
          <w:smallCaps w:val="false"/>
          <w:sz w:val="20"/>
          <w:u w:val="single"/>
        </w:rPr>
        <w:t>Section 13.12</w:t>
      </w:r>
      <w:r>
        <w:rPr>
          <w:rFonts w:ascii="Times New Roman;Times;Serif" w:hAnsi="Times New Roman;Times;Serif"/>
          <w:b w:val="false"/>
          <w:i w:val="false"/>
          <w:caps w:val="false"/>
          <w:smallCaps w:val="false"/>
          <w:sz w:val="20"/>
        </w:rPr>
        <w:t>,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13.13 </w:t>
      </w:r>
      <w:r>
        <w:rPr>
          <w:rFonts w:ascii="Times New Roman;Times;Serif" w:hAnsi="Times New Roman;Times;Serif"/>
          <w:b w:val="false"/>
          <w:i w:val="false"/>
          <w:caps w:val="false"/>
          <w:smallCaps w:val="false"/>
          <w:sz w:val="20"/>
          <w:u w:val="single"/>
        </w:rPr>
        <w:t>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13.14 </w:t>
      </w:r>
      <w:r>
        <w:rPr>
          <w:rFonts w:ascii="Times New Roman;Times;Serif" w:hAnsi="Times New Roman;Times;Serif"/>
          <w:b w:val="false"/>
          <w:i w:val="false"/>
          <w:caps w:val="false"/>
          <w:smallCaps w:val="false"/>
          <w:sz w:val="20"/>
          <w:u w:val="single"/>
        </w:rPr>
        <w:t>Calculations.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neither the Trustee nor the paying agent shall have any responsibility for any calculations hereunder and shall be entitled to conclusively rely on the calculations of the Company without any independent verification or investigation.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14.01 </w:t>
      </w:r>
      <w:r>
        <w:rPr>
          <w:rFonts w:ascii="Times New Roman;Times;Serif" w:hAnsi="Times New Roman;Times;Serif"/>
          <w:b w:val="false"/>
          <w:i w:val="false"/>
          <w:caps w:val="false"/>
          <w:smallCaps w:val="false"/>
          <w:sz w:val="20"/>
          <w:u w:val="single"/>
        </w:rPr>
        <w:t>Subordination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by the Company of the principal of, premium, if any, and interest on any series of Securities issued hereunder shall be subordinated to the extent set forth in an indenture supplemental hereto relating to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Indenture to be duly executed all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4474" w:type="dxa"/>
        <w:jc w:val="left"/>
        <w:tblInd w:w="0" w:type="dxa"/>
        <w:tblLayout w:type="fixed"/>
        <w:tblCellMar>
          <w:top w:w="0" w:type="dxa"/>
          <w:left w:w="0" w:type="dxa"/>
          <w:bottom w:w="0" w:type="dxa"/>
          <w:right w:w="0" w:type="dxa"/>
        </w:tblCellMar>
      </w:tblPr>
      <w:tblGrid>
        <w:gridCol w:w="885"/>
        <w:gridCol w:w="3514"/>
        <w:gridCol w:w="75"/>
      </w:tblGrid>
      <w:tr>
        <w:trPr/>
        <w:tc>
          <w:tcPr>
            <w:tcW w:w="4399" w:type="dxa"/>
            <w:gridSpan w:val="2"/>
            <w:tcBorders/>
            <w:vAlign w:val="center"/>
          </w:tcPr>
          <w:p>
            <w:pPr>
              <w:pStyle w:val="TableContents"/>
              <w:bidi w:val="0"/>
              <w:spacing w:before="0" w:after="283"/>
              <w:jc w:val="left"/>
              <w:rPr>
                <w:sz w:val="20"/>
              </w:rPr>
            </w:pPr>
            <w:r>
              <w:rPr>
                <w:b/>
                <w:sz w:val="20"/>
              </w:rPr>
              <w:t>MOONLAKE IMMUNOTHERAPEUTICS,</w:t>
            </w:r>
            <w:r>
              <w:rPr>
                <w:sz w:val="20"/>
              </w:rPr>
              <w:t xml:space="preserve"> as Issuer</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t> </w:t>
            </w:r>
          </w:p>
        </w:tc>
        <w:tc>
          <w:tcPr>
            <w:tcW w:w="3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sz w:val="20"/>
              </w:rPr>
            </w:pPr>
            <w:r>
              <w:rPr>
                <w:sz w:val="20"/>
              </w:rPr>
              <w:t>By:</w:t>
            </w:r>
          </w:p>
        </w:tc>
        <w:tc>
          <w:tcPr>
            <w:tcW w:w="3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t> </w:t>
            </w:r>
          </w:p>
        </w:tc>
        <w:tc>
          <w:tcPr>
            <w:tcW w:w="3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sz w:val="20"/>
              </w:rPr>
            </w:pPr>
            <w:r>
              <w:rPr>
                <w:sz w:val="20"/>
              </w:rPr>
              <w:t>Name: </w:t>
            </w:r>
          </w:p>
        </w:tc>
        <w:tc>
          <w:tcPr>
            <w:tcW w:w="3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t> </w:t>
            </w:r>
          </w:p>
        </w:tc>
        <w:tc>
          <w:tcPr>
            <w:tcW w:w="3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sz w:val="20"/>
              </w:rPr>
            </w:pPr>
            <w:r>
              <w:rPr>
                <w:sz w:val="20"/>
              </w:rPr>
              <w:t>Title:</w:t>
            </w:r>
          </w:p>
        </w:tc>
        <w:tc>
          <w:tcPr>
            <w:tcW w:w="3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t> </w:t>
            </w:r>
          </w:p>
        </w:tc>
        <w:tc>
          <w:tcPr>
            <w:tcW w:w="3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99" w:type="dxa"/>
            <w:gridSpan w:val="2"/>
            <w:tcBorders/>
            <w:vAlign w:val="center"/>
          </w:tcPr>
          <w:p>
            <w:pPr>
              <w:pStyle w:val="TableContents"/>
              <w:bidi w:val="0"/>
              <w:spacing w:before="0" w:after="283"/>
              <w:jc w:val="left"/>
              <w:rPr>
                <w:sz w:val="20"/>
              </w:rPr>
            </w:pPr>
            <w:r>
              <w:rPr>
                <w:b/>
                <w:sz w:val="20"/>
              </w:rPr>
              <w:t>[TRUSTEE],</w:t>
            </w:r>
            <w:r>
              <w:rPr>
                <w:sz w:val="20"/>
              </w:rPr>
              <w:t xml:space="preserve"> as Trustee</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t> </w:t>
            </w:r>
          </w:p>
        </w:tc>
        <w:tc>
          <w:tcPr>
            <w:tcW w:w="3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sz w:val="20"/>
              </w:rPr>
            </w:pPr>
            <w:r>
              <w:rPr>
                <w:sz w:val="20"/>
              </w:rPr>
              <w:t>By:</w:t>
            </w:r>
          </w:p>
        </w:tc>
        <w:tc>
          <w:tcPr>
            <w:tcW w:w="3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t> </w:t>
            </w:r>
          </w:p>
        </w:tc>
        <w:tc>
          <w:tcPr>
            <w:tcW w:w="3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sz w:val="20"/>
              </w:rPr>
            </w:pPr>
            <w:r>
              <w:rPr>
                <w:sz w:val="20"/>
              </w:rPr>
              <w:t>Name:</w:t>
            </w:r>
          </w:p>
        </w:tc>
        <w:tc>
          <w:tcPr>
            <w:tcW w:w="3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pPr>
            <w:r>
              <w:rPr/>
              <w:t> </w:t>
            </w:r>
          </w:p>
        </w:tc>
        <w:tc>
          <w:tcPr>
            <w:tcW w:w="3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 w:type="dxa"/>
            <w:tcBorders/>
            <w:vAlign w:val="center"/>
          </w:tcPr>
          <w:p>
            <w:pPr>
              <w:pStyle w:val="TableContents"/>
              <w:bidi w:val="0"/>
              <w:spacing w:before="0" w:after="283"/>
              <w:jc w:val="left"/>
              <w:rPr>
                <w:sz w:val="20"/>
              </w:rPr>
            </w:pPr>
            <w:r>
              <w:rPr>
                <w:sz w:val="20"/>
              </w:rPr>
              <w:t>Title:</w:t>
            </w:r>
          </w:p>
        </w:tc>
        <w:tc>
          <w:tcPr>
            <w:tcW w:w="3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Form of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 INDENTURE ACT CROSS-REFERENCE TABLE</w:t>
      </w:r>
      <w:r>
        <w:rPr>
          <w:rFonts w:ascii="Times New Roman;Times;Serif" w:hAnsi="Times New Roman;Times;Serif"/>
          <w:b/>
          <w:i w:val="false"/>
          <w:caps w:val="false"/>
          <w:smallCaps w:val="false"/>
          <w:position w:val="7"/>
          <w:sz w:val="16"/>
          <w:sz w:val="20"/>
        </w:rPr>
        <w:t>2</w:t>
      </w:r>
    </w:p>
    <w:p>
      <w:pPr>
        <w:pStyle w:val="TextBody"/>
        <w:bidi w:val="0"/>
        <w:spacing w:before="0" w:after="0"/>
        <w:jc w:val="center"/>
        <w:rPr>
          <w:caps w:val="false"/>
          <w:smallCaps w:val="false"/>
        </w:rPr>
      </w:pPr>
      <w:r>
        <w:rPr>
          <w:caps w:val="false"/>
          <w:smallCaps w:val="false"/>
        </w:rPr>
        <w:t> </w:t>
      </w:r>
    </w:p>
    <w:tbl>
      <w:tblPr>
        <w:tblW w:w="7435" w:type="dxa"/>
        <w:jc w:val="left"/>
        <w:tblInd w:w="0" w:type="dxa"/>
        <w:tblLayout w:type="fixed"/>
        <w:tblCellMar>
          <w:top w:w="0" w:type="dxa"/>
          <w:left w:w="0" w:type="dxa"/>
          <w:bottom w:w="28" w:type="dxa"/>
          <w:right w:w="0" w:type="dxa"/>
        </w:tblCellMar>
      </w:tblPr>
      <w:tblGrid>
        <w:gridCol w:w="5270"/>
        <w:gridCol w:w="60"/>
        <w:gridCol w:w="2105"/>
      </w:tblGrid>
      <w:tr>
        <w:trPr/>
        <w:tc>
          <w:tcPr>
            <w:tcW w:w="5270" w:type="dxa"/>
            <w:tcBorders>
              <w:bottom w:val="single" w:sz="12" w:space="0" w:color="000000"/>
            </w:tcBorders>
            <w:vAlign w:val="center"/>
          </w:tcPr>
          <w:p>
            <w:pPr>
              <w:pStyle w:val="TableContents"/>
              <w:bidi w:val="0"/>
              <w:spacing w:before="0" w:after="283"/>
              <w:jc w:val="left"/>
              <w:rPr>
                <w:b/>
              </w:rPr>
            </w:pPr>
            <w:r>
              <w:rPr>
                <w:b/>
              </w:rPr>
              <w:t>Section of Trust Indenture Act of 1939, as amended</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12" w:space="0" w:color="000000"/>
            </w:tcBorders>
            <w:vAlign w:val="center"/>
          </w:tcPr>
          <w:p>
            <w:pPr>
              <w:pStyle w:val="TableContents"/>
              <w:bidi w:val="0"/>
              <w:spacing w:before="0" w:after="283"/>
              <w:jc w:val="center"/>
              <w:rPr>
                <w:b/>
              </w:rPr>
            </w:pPr>
            <w:r>
              <w:rPr>
                <w:b/>
              </w:rPr>
              <w:t>Section of Indenture</w:t>
            </w:r>
          </w:p>
        </w:tc>
      </w:tr>
      <w:tr>
        <w:trPr/>
        <w:tc>
          <w:tcPr>
            <w:tcW w:w="5270" w:type="dxa"/>
            <w:tcBorders/>
            <w:shd w:fill="CCEEFF" w:val="clear"/>
            <w:tcMar>
              <w:bottom w:w="0" w:type="dxa"/>
            </w:tcMar>
            <w:vAlign w:val="center"/>
          </w:tcPr>
          <w:p>
            <w:pPr>
              <w:pStyle w:val="TableContents"/>
              <w:bidi w:val="0"/>
              <w:spacing w:before="0" w:after="283"/>
              <w:jc w:val="left"/>
              <w:rPr/>
            </w:pPr>
            <w:r>
              <w:rPr/>
              <w:t>310(a)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7.09</w:t>
            </w:r>
          </w:p>
        </w:tc>
      </w:tr>
      <w:tr>
        <w:trPr/>
        <w:tc>
          <w:tcPr>
            <w:tcW w:w="5270" w:type="dxa"/>
            <w:tcBorders/>
            <w:shd w:fill="FFFFFF" w:val="clear"/>
            <w:tcMar>
              <w:bottom w:w="0" w:type="dxa"/>
            </w:tcMar>
            <w:vAlign w:val="center"/>
          </w:tcPr>
          <w:p>
            <w:pPr>
              <w:pStyle w:val="TableContents"/>
              <w:bidi w:val="0"/>
              <w:spacing w:before="0" w:after="283"/>
              <w:jc w:val="left"/>
              <w:rPr/>
            </w:pPr>
            <w:r>
              <w:rPr/>
              <w:t>310(b)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7.08</w:t>
            </w:r>
          </w:p>
        </w:tc>
      </w:tr>
      <w:tr>
        <w:trPr/>
        <w:tc>
          <w:tcPr>
            <w:tcW w:w="52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7.10</w:t>
            </w:r>
          </w:p>
        </w:tc>
      </w:tr>
      <w:tr>
        <w:trPr/>
        <w:tc>
          <w:tcPr>
            <w:tcW w:w="5270" w:type="dxa"/>
            <w:tcBorders/>
            <w:shd w:fill="FFFFFF" w:val="clear"/>
            <w:tcMar>
              <w:bottom w:w="0" w:type="dxa"/>
            </w:tcMar>
            <w:vAlign w:val="center"/>
          </w:tcPr>
          <w:p>
            <w:pPr>
              <w:pStyle w:val="TableContents"/>
              <w:bidi w:val="0"/>
              <w:spacing w:before="0" w:after="283"/>
              <w:jc w:val="left"/>
              <w:rPr/>
            </w:pPr>
            <w:r>
              <w:rPr/>
              <w:t>310(c)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Inapplicable</w:t>
            </w:r>
          </w:p>
        </w:tc>
      </w:tr>
      <w:tr>
        <w:trPr/>
        <w:tc>
          <w:tcPr>
            <w:tcW w:w="5270" w:type="dxa"/>
            <w:tcBorders/>
            <w:shd w:fill="CCEEFF" w:val="clear"/>
            <w:tcMar>
              <w:bottom w:w="0" w:type="dxa"/>
            </w:tcMar>
            <w:vAlign w:val="center"/>
          </w:tcPr>
          <w:p>
            <w:pPr>
              <w:pStyle w:val="TableContents"/>
              <w:bidi w:val="0"/>
              <w:spacing w:before="0" w:after="283"/>
              <w:jc w:val="left"/>
              <w:rPr/>
            </w:pPr>
            <w:r>
              <w:rPr/>
              <w:t>311(a)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7.13</w:t>
            </w:r>
          </w:p>
        </w:tc>
      </w:tr>
      <w:tr>
        <w:trPr/>
        <w:tc>
          <w:tcPr>
            <w:tcW w:w="5270" w:type="dxa"/>
            <w:tcBorders/>
            <w:shd w:fill="FFFFFF" w:val="clear"/>
            <w:tcMar>
              <w:bottom w:w="0" w:type="dxa"/>
            </w:tcMar>
            <w:vAlign w:val="center"/>
          </w:tcPr>
          <w:p>
            <w:pPr>
              <w:pStyle w:val="TableContents"/>
              <w:bidi w:val="0"/>
              <w:spacing w:before="0" w:after="283"/>
              <w:jc w:val="left"/>
              <w:rPr/>
            </w:pPr>
            <w:r>
              <w:rPr/>
              <w:t>311(b)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7.13</w:t>
            </w:r>
          </w:p>
        </w:tc>
      </w:tr>
      <w:tr>
        <w:trPr/>
        <w:tc>
          <w:tcPr>
            <w:tcW w:w="5270" w:type="dxa"/>
            <w:tcBorders/>
            <w:shd w:fill="CCEEFF" w:val="clear"/>
            <w:tcMar>
              <w:bottom w:w="0" w:type="dxa"/>
            </w:tcMar>
            <w:vAlign w:val="center"/>
          </w:tcPr>
          <w:p>
            <w:pPr>
              <w:pStyle w:val="TableContents"/>
              <w:bidi w:val="0"/>
              <w:spacing w:before="0" w:after="283"/>
              <w:jc w:val="left"/>
              <w:rPr/>
            </w:pPr>
            <w:r>
              <w:rPr/>
              <w:t>311(c)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Inapplicable</w:t>
            </w:r>
          </w:p>
        </w:tc>
      </w:tr>
      <w:tr>
        <w:trPr/>
        <w:tc>
          <w:tcPr>
            <w:tcW w:w="5270" w:type="dxa"/>
            <w:tcBorders/>
            <w:shd w:fill="FFFFFF" w:val="clear"/>
            <w:tcMar>
              <w:bottom w:w="0" w:type="dxa"/>
            </w:tcMar>
            <w:vAlign w:val="center"/>
          </w:tcPr>
          <w:p>
            <w:pPr>
              <w:pStyle w:val="TableContents"/>
              <w:bidi w:val="0"/>
              <w:spacing w:before="0" w:after="283"/>
              <w:jc w:val="left"/>
              <w:rPr/>
            </w:pPr>
            <w:r>
              <w:rPr/>
              <w:t>312(a)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5.01</w:t>
            </w:r>
          </w:p>
        </w:tc>
      </w:tr>
      <w:tr>
        <w:trPr/>
        <w:tc>
          <w:tcPr>
            <w:tcW w:w="52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5.02(a)</w:t>
            </w:r>
          </w:p>
        </w:tc>
      </w:tr>
      <w:tr>
        <w:trPr/>
        <w:tc>
          <w:tcPr>
            <w:tcW w:w="5270" w:type="dxa"/>
            <w:tcBorders/>
            <w:shd w:fill="FFFFFF" w:val="clear"/>
            <w:tcMar>
              <w:bottom w:w="0" w:type="dxa"/>
            </w:tcMar>
            <w:vAlign w:val="center"/>
          </w:tcPr>
          <w:p>
            <w:pPr>
              <w:pStyle w:val="TableContents"/>
              <w:bidi w:val="0"/>
              <w:spacing w:before="0" w:after="283"/>
              <w:jc w:val="left"/>
              <w:rPr/>
            </w:pPr>
            <w:r>
              <w:rPr/>
              <w:t>312(b)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5.02(c)</w:t>
            </w:r>
          </w:p>
        </w:tc>
      </w:tr>
      <w:tr>
        <w:trPr/>
        <w:tc>
          <w:tcPr>
            <w:tcW w:w="5270" w:type="dxa"/>
            <w:tcBorders/>
            <w:shd w:fill="CCEEFF" w:val="clear"/>
            <w:tcMar>
              <w:bottom w:w="0" w:type="dxa"/>
            </w:tcMar>
            <w:vAlign w:val="center"/>
          </w:tcPr>
          <w:p>
            <w:pPr>
              <w:pStyle w:val="TableContents"/>
              <w:bidi w:val="0"/>
              <w:spacing w:before="0" w:after="283"/>
              <w:jc w:val="left"/>
              <w:rPr/>
            </w:pPr>
            <w:r>
              <w:rPr/>
              <w:t>312(c)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5.02(c)</w:t>
            </w:r>
          </w:p>
        </w:tc>
      </w:tr>
      <w:tr>
        <w:trPr/>
        <w:tc>
          <w:tcPr>
            <w:tcW w:w="5270" w:type="dxa"/>
            <w:tcBorders/>
            <w:shd w:fill="FFFFFF" w:val="clear"/>
            <w:tcMar>
              <w:bottom w:w="0" w:type="dxa"/>
            </w:tcMar>
            <w:vAlign w:val="center"/>
          </w:tcPr>
          <w:p>
            <w:pPr>
              <w:pStyle w:val="TableContents"/>
              <w:bidi w:val="0"/>
              <w:spacing w:before="0" w:after="283"/>
              <w:jc w:val="left"/>
              <w:rPr/>
            </w:pPr>
            <w:r>
              <w:rPr/>
              <w:t>313(a)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5.04(a)</w:t>
            </w:r>
          </w:p>
        </w:tc>
      </w:tr>
      <w:tr>
        <w:trPr/>
        <w:tc>
          <w:tcPr>
            <w:tcW w:w="5270" w:type="dxa"/>
            <w:tcBorders/>
            <w:shd w:fill="CCEEFF" w:val="clear"/>
            <w:tcMar>
              <w:bottom w:w="0" w:type="dxa"/>
            </w:tcMar>
            <w:vAlign w:val="center"/>
          </w:tcPr>
          <w:p>
            <w:pPr>
              <w:pStyle w:val="TableContents"/>
              <w:bidi w:val="0"/>
              <w:spacing w:before="0" w:after="283"/>
              <w:jc w:val="left"/>
              <w:rPr/>
            </w:pPr>
            <w:r>
              <w:rPr/>
              <w:t>313(b)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5.04(b)</w:t>
            </w:r>
          </w:p>
        </w:tc>
      </w:tr>
      <w:tr>
        <w:trPr/>
        <w:tc>
          <w:tcPr>
            <w:tcW w:w="5270" w:type="dxa"/>
            <w:tcBorders/>
            <w:shd w:fill="FFFFFF" w:val="clear"/>
            <w:tcMar>
              <w:bottom w:w="0" w:type="dxa"/>
            </w:tcMar>
            <w:vAlign w:val="center"/>
          </w:tcPr>
          <w:p>
            <w:pPr>
              <w:pStyle w:val="TableContents"/>
              <w:bidi w:val="0"/>
              <w:spacing w:before="0" w:after="283"/>
              <w:jc w:val="left"/>
              <w:rPr/>
            </w:pPr>
            <w:r>
              <w:rPr/>
              <w:t>313(c)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5.04(a)</w:t>
            </w:r>
          </w:p>
        </w:tc>
      </w:tr>
      <w:tr>
        <w:trPr/>
        <w:tc>
          <w:tcPr>
            <w:tcW w:w="52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5.04(b)</w:t>
            </w:r>
          </w:p>
        </w:tc>
      </w:tr>
      <w:tr>
        <w:trPr/>
        <w:tc>
          <w:tcPr>
            <w:tcW w:w="5270" w:type="dxa"/>
            <w:tcBorders/>
            <w:shd w:fill="FFFFFF" w:val="clear"/>
            <w:tcMar>
              <w:bottom w:w="0" w:type="dxa"/>
            </w:tcMar>
            <w:vAlign w:val="center"/>
          </w:tcPr>
          <w:p>
            <w:pPr>
              <w:pStyle w:val="TableContents"/>
              <w:bidi w:val="0"/>
              <w:spacing w:before="0" w:after="283"/>
              <w:jc w:val="left"/>
              <w:rPr/>
            </w:pPr>
            <w:r>
              <w:rPr/>
              <w:t>313(d)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5.04(c)</w:t>
            </w:r>
          </w:p>
        </w:tc>
      </w:tr>
      <w:tr>
        <w:trPr/>
        <w:tc>
          <w:tcPr>
            <w:tcW w:w="5270" w:type="dxa"/>
            <w:tcBorders/>
            <w:shd w:fill="CCEEFF" w:val="clear"/>
            <w:tcMar>
              <w:bottom w:w="0" w:type="dxa"/>
            </w:tcMar>
            <w:vAlign w:val="center"/>
          </w:tcPr>
          <w:p>
            <w:pPr>
              <w:pStyle w:val="TableContents"/>
              <w:bidi w:val="0"/>
              <w:spacing w:before="0" w:after="283"/>
              <w:jc w:val="left"/>
              <w:rPr/>
            </w:pPr>
            <w:r>
              <w:rPr/>
              <w:t>314(a)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5.03</w:t>
            </w:r>
          </w:p>
        </w:tc>
      </w:tr>
      <w:tr>
        <w:trPr/>
        <w:tc>
          <w:tcPr>
            <w:tcW w:w="52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13.12</w:t>
            </w:r>
          </w:p>
        </w:tc>
      </w:tr>
      <w:tr>
        <w:trPr/>
        <w:tc>
          <w:tcPr>
            <w:tcW w:w="5270" w:type="dxa"/>
            <w:tcBorders/>
            <w:shd w:fill="CCEEFF" w:val="clear"/>
            <w:tcMar>
              <w:bottom w:w="0" w:type="dxa"/>
            </w:tcMar>
            <w:vAlign w:val="center"/>
          </w:tcPr>
          <w:p>
            <w:pPr>
              <w:pStyle w:val="TableContents"/>
              <w:bidi w:val="0"/>
              <w:spacing w:before="0" w:after="283"/>
              <w:jc w:val="left"/>
              <w:rPr/>
            </w:pPr>
            <w:r>
              <w:rPr/>
              <w:t>314(b)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Inapplicable</w:t>
            </w:r>
          </w:p>
        </w:tc>
      </w:tr>
      <w:tr>
        <w:trPr/>
        <w:tc>
          <w:tcPr>
            <w:tcW w:w="5270" w:type="dxa"/>
            <w:tcBorders/>
            <w:shd w:fill="FFFFFF" w:val="clear"/>
            <w:tcMar>
              <w:bottom w:w="0" w:type="dxa"/>
            </w:tcMar>
            <w:vAlign w:val="center"/>
          </w:tcPr>
          <w:p>
            <w:pPr>
              <w:pStyle w:val="TableContents"/>
              <w:bidi w:val="0"/>
              <w:spacing w:before="0" w:after="283"/>
              <w:jc w:val="left"/>
              <w:rPr/>
            </w:pPr>
            <w:r>
              <w:rPr/>
              <w:t>314(c)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13.07(a)</w:t>
            </w:r>
          </w:p>
        </w:tc>
      </w:tr>
      <w:tr>
        <w:trPr/>
        <w:tc>
          <w:tcPr>
            <w:tcW w:w="5270" w:type="dxa"/>
            <w:tcBorders/>
            <w:shd w:fill="CCEEFF" w:val="clear"/>
            <w:tcMar>
              <w:bottom w:w="0" w:type="dxa"/>
            </w:tcMar>
            <w:vAlign w:val="center"/>
          </w:tcPr>
          <w:p>
            <w:pPr>
              <w:pStyle w:val="TableContents"/>
              <w:bidi w:val="0"/>
              <w:spacing w:before="0" w:after="283"/>
              <w:jc w:val="left"/>
              <w:rPr/>
            </w:pPr>
            <w:r>
              <w:rPr/>
              <w:t>314(d)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Inapplicable</w:t>
            </w:r>
          </w:p>
        </w:tc>
      </w:tr>
      <w:tr>
        <w:trPr/>
        <w:tc>
          <w:tcPr>
            <w:tcW w:w="5270" w:type="dxa"/>
            <w:tcBorders/>
            <w:shd w:fill="FFFFFF" w:val="clear"/>
            <w:tcMar>
              <w:bottom w:w="0" w:type="dxa"/>
            </w:tcMar>
            <w:vAlign w:val="center"/>
          </w:tcPr>
          <w:p>
            <w:pPr>
              <w:pStyle w:val="TableContents"/>
              <w:bidi w:val="0"/>
              <w:spacing w:before="0" w:after="283"/>
              <w:jc w:val="left"/>
              <w:rPr/>
            </w:pPr>
            <w:r>
              <w:rPr/>
              <w:t>314(e)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13.07(b)</w:t>
            </w:r>
          </w:p>
        </w:tc>
      </w:tr>
      <w:tr>
        <w:trPr/>
        <w:tc>
          <w:tcPr>
            <w:tcW w:w="5270" w:type="dxa"/>
            <w:tcBorders/>
            <w:shd w:fill="CCEEFF" w:val="clear"/>
            <w:tcMar>
              <w:bottom w:w="0" w:type="dxa"/>
            </w:tcMar>
            <w:vAlign w:val="center"/>
          </w:tcPr>
          <w:p>
            <w:pPr>
              <w:pStyle w:val="TableContents"/>
              <w:bidi w:val="0"/>
              <w:spacing w:before="0" w:after="283"/>
              <w:jc w:val="left"/>
              <w:rPr/>
            </w:pPr>
            <w:r>
              <w:rPr/>
              <w:t>314(f)</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Inapplicable</w:t>
            </w:r>
          </w:p>
        </w:tc>
      </w:tr>
      <w:tr>
        <w:trPr/>
        <w:tc>
          <w:tcPr>
            <w:tcW w:w="5270" w:type="dxa"/>
            <w:tcBorders/>
            <w:shd w:fill="FFFFFF" w:val="clear"/>
            <w:tcMar>
              <w:bottom w:w="0" w:type="dxa"/>
            </w:tcMar>
            <w:vAlign w:val="center"/>
          </w:tcPr>
          <w:p>
            <w:pPr>
              <w:pStyle w:val="TableContents"/>
              <w:bidi w:val="0"/>
              <w:spacing w:before="0" w:after="283"/>
              <w:jc w:val="left"/>
              <w:rPr/>
            </w:pPr>
            <w:r>
              <w:rPr/>
              <w:t>315(a)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7.01(a)</w:t>
            </w:r>
          </w:p>
        </w:tc>
      </w:tr>
      <w:tr>
        <w:trPr/>
        <w:tc>
          <w:tcPr>
            <w:tcW w:w="52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7.01(b)</w:t>
            </w:r>
          </w:p>
        </w:tc>
      </w:tr>
      <w:tr>
        <w:trPr/>
        <w:tc>
          <w:tcPr>
            <w:tcW w:w="5270" w:type="dxa"/>
            <w:tcBorders/>
            <w:shd w:fill="FFFFFF" w:val="clear"/>
            <w:tcMar>
              <w:bottom w:w="0" w:type="dxa"/>
            </w:tcMar>
            <w:vAlign w:val="center"/>
          </w:tcPr>
          <w:p>
            <w:pPr>
              <w:pStyle w:val="TableContents"/>
              <w:bidi w:val="0"/>
              <w:spacing w:before="0" w:after="283"/>
              <w:jc w:val="left"/>
              <w:rPr/>
            </w:pPr>
            <w:r>
              <w:rPr/>
              <w:t>315(b)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7.14</w:t>
            </w:r>
          </w:p>
        </w:tc>
      </w:tr>
      <w:tr>
        <w:trPr/>
        <w:tc>
          <w:tcPr>
            <w:tcW w:w="5270" w:type="dxa"/>
            <w:tcBorders/>
            <w:shd w:fill="CCEEFF" w:val="clear"/>
            <w:tcMar>
              <w:bottom w:w="0" w:type="dxa"/>
            </w:tcMar>
            <w:vAlign w:val="center"/>
          </w:tcPr>
          <w:p>
            <w:pPr>
              <w:pStyle w:val="TableContents"/>
              <w:bidi w:val="0"/>
              <w:spacing w:before="0" w:after="283"/>
              <w:jc w:val="left"/>
              <w:rPr/>
            </w:pPr>
            <w:r>
              <w:rPr/>
              <w:t>315(c)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7.01(a)</w:t>
            </w:r>
          </w:p>
        </w:tc>
      </w:tr>
      <w:tr>
        <w:trPr/>
        <w:tc>
          <w:tcPr>
            <w:tcW w:w="5270" w:type="dxa"/>
            <w:tcBorders/>
            <w:shd w:fill="FFFFFF" w:val="clear"/>
            <w:tcMar>
              <w:bottom w:w="0" w:type="dxa"/>
            </w:tcMar>
            <w:vAlign w:val="center"/>
          </w:tcPr>
          <w:p>
            <w:pPr>
              <w:pStyle w:val="TableContents"/>
              <w:bidi w:val="0"/>
              <w:spacing w:before="0" w:after="283"/>
              <w:jc w:val="left"/>
              <w:rPr/>
            </w:pPr>
            <w:r>
              <w:rPr/>
              <w:t>315(d)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7.01(b)</w:t>
            </w:r>
          </w:p>
        </w:tc>
      </w:tr>
      <w:tr>
        <w:trPr/>
        <w:tc>
          <w:tcPr>
            <w:tcW w:w="5270" w:type="dxa"/>
            <w:tcBorders/>
            <w:shd w:fill="CCEEFF" w:val="clear"/>
            <w:tcMar>
              <w:bottom w:w="0" w:type="dxa"/>
            </w:tcMar>
            <w:vAlign w:val="center"/>
          </w:tcPr>
          <w:p>
            <w:pPr>
              <w:pStyle w:val="TableContents"/>
              <w:bidi w:val="0"/>
              <w:spacing w:before="0" w:after="283"/>
              <w:jc w:val="left"/>
              <w:rPr/>
            </w:pPr>
            <w:r>
              <w:rPr/>
              <w:t>315(e)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6.07</w:t>
            </w:r>
          </w:p>
        </w:tc>
      </w:tr>
      <w:tr>
        <w:trPr/>
        <w:tc>
          <w:tcPr>
            <w:tcW w:w="5270" w:type="dxa"/>
            <w:tcBorders/>
            <w:shd w:fill="FFFFFF" w:val="clear"/>
            <w:tcMar>
              <w:bottom w:w="0" w:type="dxa"/>
            </w:tcMar>
            <w:vAlign w:val="center"/>
          </w:tcPr>
          <w:p>
            <w:pPr>
              <w:pStyle w:val="TableContents"/>
              <w:bidi w:val="0"/>
              <w:spacing w:before="0" w:after="283"/>
              <w:jc w:val="left"/>
              <w:rPr/>
            </w:pPr>
            <w:r>
              <w:rPr/>
              <w:t>316(a)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6.06</w:t>
            </w:r>
          </w:p>
        </w:tc>
      </w:tr>
      <w:tr>
        <w:trPr/>
        <w:tc>
          <w:tcPr>
            <w:tcW w:w="52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8.04</w:t>
            </w:r>
          </w:p>
        </w:tc>
      </w:tr>
      <w:tr>
        <w:trPr/>
        <w:tc>
          <w:tcPr>
            <w:tcW w:w="5270" w:type="dxa"/>
            <w:tcBorders/>
            <w:shd w:fill="FFFFFF" w:val="clear"/>
            <w:tcMar>
              <w:bottom w:w="0" w:type="dxa"/>
            </w:tcMar>
            <w:vAlign w:val="center"/>
          </w:tcPr>
          <w:p>
            <w:pPr>
              <w:pStyle w:val="TableContents"/>
              <w:bidi w:val="0"/>
              <w:spacing w:before="0" w:after="283"/>
              <w:jc w:val="left"/>
              <w:rPr/>
            </w:pPr>
            <w:r>
              <w:rPr/>
              <w:t>316(b)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6.04</w:t>
            </w:r>
          </w:p>
        </w:tc>
      </w:tr>
      <w:tr>
        <w:trPr/>
        <w:tc>
          <w:tcPr>
            <w:tcW w:w="5270" w:type="dxa"/>
            <w:tcBorders/>
            <w:shd w:fill="CCEEFF" w:val="clear"/>
            <w:tcMar>
              <w:bottom w:w="0" w:type="dxa"/>
            </w:tcMar>
            <w:vAlign w:val="center"/>
          </w:tcPr>
          <w:p>
            <w:pPr>
              <w:pStyle w:val="TableContents"/>
              <w:bidi w:val="0"/>
              <w:spacing w:before="0" w:after="283"/>
              <w:jc w:val="left"/>
              <w:rPr/>
            </w:pPr>
            <w:r>
              <w:rPr/>
              <w:t>316(c)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8.01</w:t>
            </w:r>
          </w:p>
        </w:tc>
      </w:tr>
      <w:tr>
        <w:trPr/>
        <w:tc>
          <w:tcPr>
            <w:tcW w:w="5270" w:type="dxa"/>
            <w:tcBorders/>
            <w:shd w:fill="FFFFFF" w:val="clear"/>
            <w:tcMar>
              <w:bottom w:w="0" w:type="dxa"/>
            </w:tcMar>
            <w:vAlign w:val="center"/>
          </w:tcPr>
          <w:p>
            <w:pPr>
              <w:pStyle w:val="TableContents"/>
              <w:bidi w:val="0"/>
              <w:spacing w:before="0" w:after="283"/>
              <w:jc w:val="left"/>
              <w:rPr/>
            </w:pPr>
            <w:r>
              <w:rPr/>
              <w:t>317(a)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6.02</w:t>
            </w:r>
          </w:p>
        </w:tc>
      </w:tr>
      <w:tr>
        <w:trPr/>
        <w:tc>
          <w:tcPr>
            <w:tcW w:w="5270" w:type="dxa"/>
            <w:tcBorders/>
            <w:shd w:fill="CCEEFF" w:val="clear"/>
            <w:tcMar>
              <w:bottom w:w="0" w:type="dxa"/>
            </w:tcMar>
            <w:vAlign w:val="center"/>
          </w:tcPr>
          <w:p>
            <w:pPr>
              <w:pStyle w:val="TableContents"/>
              <w:bidi w:val="0"/>
              <w:spacing w:before="0" w:after="283"/>
              <w:jc w:val="left"/>
              <w:rPr/>
            </w:pPr>
            <w:r>
              <w:rPr/>
              <w:t>317(b)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pPr>
            <w:r>
              <w:rPr/>
              <w:t>4.03</w:t>
            </w:r>
          </w:p>
        </w:tc>
      </w:tr>
      <w:tr>
        <w:trPr/>
        <w:tc>
          <w:tcPr>
            <w:tcW w:w="5270" w:type="dxa"/>
            <w:tcBorders/>
            <w:shd w:fill="FFFFFF" w:val="clear"/>
            <w:tcMar>
              <w:bottom w:w="0" w:type="dxa"/>
            </w:tcMar>
            <w:vAlign w:val="center"/>
          </w:tcPr>
          <w:p>
            <w:pPr>
              <w:pStyle w:val="TableContents"/>
              <w:bidi w:val="0"/>
              <w:spacing w:before="0" w:after="283"/>
              <w:jc w:val="left"/>
              <w:rPr/>
            </w:pPr>
            <w:r>
              <w:rPr/>
              <w:t>318(a)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pPr>
            <w:r>
              <w:rPr/>
              <w:t>13.09</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w:t>
            </w:r>
          </w:p>
        </w:tc>
        <w:tc>
          <w:tcPr>
            <w:tcW w:w="100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Cross-Reference Table does not constitute part of the Indenture and shall not have any bearing on the interpretation of any of its terms or provisions.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36" w:name="ea030102401ex5-1.htm"/>
      <w:bookmarkStart w:id="37" w:name="ksea030102401ex51"/>
      <w:bookmarkEnd w:id="36"/>
      <w:bookmarkEnd w:id="37"/>
      <w:r>
        <w:rPr>
          <w:b/>
        </w:rPr>
        <w:t>Exhibit 5.1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caps w:val="false"/>
          <w:smallCaps w:val="false"/>
        </w:rPr>
        <w:drawing>
          <wp:inline distT="0" distB="0" distL="0" distR="0">
            <wp:extent cx="1362075"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4"/>
                    <a:stretch>
                      <a:fillRect/>
                    </a:stretch>
                  </pic:blipFill>
                  <pic:spPr bwMode="auto">
                    <a:xfrm>
                      <a:off x="0" y="0"/>
                      <a:ext cx="1362075" cy="2667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MoonLake Immunotherapeutics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Walkers Corporate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 Elgin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Town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KY1-9008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IMMUNOTHERAPEUTICS</w:t>
      </w:r>
    </w:p>
    <w:p>
      <w:pPr>
        <w:pStyle w:val="TextBody"/>
        <w:bidi w:val="0"/>
        <w:spacing w:before="0" w:after="0"/>
        <w:ind w:left="14" w:right="0" w:hanging="7"/>
        <w:jc w:val="both"/>
        <w:rPr>
          <w:caps w:val="false"/>
          <w:smallCaps w:val="false"/>
        </w:rPr>
      </w:pPr>
      <w:r>
        <w:rPr>
          <w:caps w:val="false"/>
          <w:smallCaps w:val="false"/>
        </w:rPr>
        <w:t> </w:t>
      </w:r>
    </w:p>
    <w:p>
      <w:pPr>
        <w:pStyle w:val="TextBody"/>
        <w:bidi w:val="0"/>
        <w:spacing w:before="0" w:after="0"/>
        <w:ind w:left="14" w:right="0" w:hanging="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asked to provide this legal opinion to you with regards to the laws of the Cayman Islands in connection with the filing by MoonLake Immunotherapeutics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of a Registration Statement on Form S-3 to be filed with the United States Securities and Exchange Commission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relating to the registration under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of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7" w:right="0" w:hanging="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(a)</w:t>
            </w:r>
          </w:p>
        </w:tc>
        <w:tc>
          <w:tcPr>
            <w:tcW w:w="9894" w:type="dxa"/>
            <w:tcBorders/>
            <w:vAlign w:val="center"/>
          </w:tcPr>
          <w:p>
            <w:pPr>
              <w:pStyle w:val="TableContents"/>
              <w:bidi w:val="0"/>
              <w:spacing w:before="0" w:after="283"/>
              <w:jc w:val="both"/>
              <w:rPr/>
            </w:pPr>
            <w:r>
              <w:rPr/>
              <w:t>ordinary shares, par value US$0.0001 per share, in the capital of the Company (the “</w:t>
            </w:r>
            <w:r>
              <w:rPr>
                <w:b/>
              </w:rPr>
              <w:t>Ordinary Shares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99"/>
        <w:gridCol w:w="9754"/>
      </w:tblGrid>
      <w:tr>
        <w:trPr/>
        <w:tc>
          <w:tcPr>
            <w:tcW w:w="5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(b)</w:t>
            </w:r>
          </w:p>
        </w:tc>
        <w:tc>
          <w:tcPr>
            <w:tcW w:w="9754" w:type="dxa"/>
            <w:tcBorders/>
            <w:vAlign w:val="center"/>
          </w:tcPr>
          <w:p>
            <w:pPr>
              <w:pStyle w:val="TableContents"/>
              <w:bidi w:val="0"/>
              <w:spacing w:before="0" w:after="283"/>
              <w:jc w:val="both"/>
              <w:rPr/>
            </w:pPr>
            <w:r>
              <w:rPr/>
              <w:t>preference shares in the capital of the Company (the “</w:t>
            </w:r>
            <w:r>
              <w:rPr>
                <w:b/>
              </w:rPr>
              <w:t>Preferred Shares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283"/>
              <w:jc w:val="both"/>
              <w:rPr/>
            </w:pPr>
            <w:r>
              <w:rPr/>
              <w:t>warrants to purchase Ordinary Shares, Preferred Shares or Debt Securities (defined below) (the “</w:t>
            </w:r>
            <w:r>
              <w:rPr>
                <w:b/>
              </w:rPr>
              <w:t>Warrants</w:t>
            </w:r>
            <w:r>
              <w:rPr/>
              <w:t>”) issuable pursuant to the terms of a warrant agreement (the “</w:t>
            </w:r>
            <w:r>
              <w:rPr>
                <w:b/>
              </w:rPr>
              <w:t>Warrant Agreement</w:t>
            </w:r>
            <w:r>
              <w:rPr/>
              <w:t>”), a warrant certificate (the “</w:t>
            </w:r>
            <w:r>
              <w:rPr>
                <w:b/>
              </w:rPr>
              <w:t>Warrant Certificate</w:t>
            </w:r>
            <w:r>
              <w:rPr/>
              <w:t>”) and such other document or agreement associated therewith that may be required in order to issue the Warrants and, together with the Warrant Agreement and the Warrant Certificate, the “</w:t>
            </w:r>
            <w:r>
              <w:rPr>
                <w:b/>
              </w:rPr>
              <w:t>Warrant Documents</w:t>
            </w:r>
            <w:r>
              <w:rPr/>
              <w:t>”;</w:t>
            </w:r>
          </w:p>
        </w:tc>
      </w:tr>
    </w:tbl>
    <w:p>
      <w:pPr>
        <w:pStyle w:val="TextBody"/>
        <w:bidi w:val="0"/>
        <w:spacing w:before="0" w:after="0"/>
        <w:ind w:left="14" w:right="0" w:hanging="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(d)</w:t>
            </w:r>
          </w:p>
        </w:tc>
        <w:tc>
          <w:tcPr>
            <w:tcW w:w="9938" w:type="dxa"/>
            <w:tcBorders/>
            <w:vAlign w:val="center"/>
          </w:tcPr>
          <w:p>
            <w:pPr>
              <w:pStyle w:val="TableContents"/>
              <w:bidi w:val="0"/>
              <w:spacing w:before="0" w:after="283"/>
              <w:jc w:val="both"/>
              <w:rPr/>
            </w:pPr>
            <w:r>
              <w:rPr/>
              <w:t>units consisting of any combination of Ordinary Shares, Preferred Shares, Debt Securities or Warrants in one or more series (the “</w:t>
            </w:r>
            <w:r>
              <w:rPr>
                <w:b/>
              </w:rPr>
              <w:t>Units</w:t>
            </w:r>
            <w:r>
              <w:rPr/>
              <w:t>”) issuable pursuant to the terms of a unit agreement (the “</w:t>
            </w:r>
            <w:r>
              <w:rPr>
                <w:b/>
              </w:rPr>
              <w:t>Unit Agreement</w:t>
            </w:r>
            <w:r>
              <w:rPr/>
              <w:t>”), a unit certificate (the “</w:t>
            </w:r>
            <w:r>
              <w:rPr>
                <w:b/>
              </w:rPr>
              <w:t>Unit Certificate</w:t>
            </w:r>
            <w:r>
              <w:rPr/>
              <w:t>”) and such other document or agreement associated therewith that may be required in order to issue the Units and, together with the Unit Agreement and the Unit Certificate, the “</w:t>
            </w:r>
            <w:r>
              <w:rPr>
                <w:b/>
              </w:rPr>
              <w:t>Unit Documents</w:t>
            </w:r>
            <w:r>
              <w:rPr/>
              <w:t>”; and</w:t>
            </w:r>
          </w:p>
        </w:tc>
      </w:tr>
    </w:tbl>
    <w:p>
      <w:pPr>
        <w:pStyle w:val="TextBody"/>
        <w:bidi w:val="0"/>
        <w:spacing w:before="0" w:after="0"/>
        <w:ind w:left="14" w:right="0" w:hanging="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(e)</w:t>
            </w:r>
          </w:p>
        </w:tc>
        <w:tc>
          <w:tcPr>
            <w:tcW w:w="9959" w:type="dxa"/>
            <w:tcBorders/>
            <w:vAlign w:val="center"/>
          </w:tcPr>
          <w:p>
            <w:pPr>
              <w:pStyle w:val="TableContents"/>
              <w:bidi w:val="0"/>
              <w:spacing w:before="0" w:after="283"/>
              <w:jc w:val="both"/>
              <w:rPr/>
            </w:pPr>
            <w:r>
              <w:rPr/>
              <w:t>debt securities, including senior debt securities and subordinated debt securities, of the Company (the “</w:t>
            </w:r>
            <w:r>
              <w:rPr>
                <w:b/>
              </w:rPr>
              <w:t>Debt Securities</w:t>
            </w:r>
            <w:r>
              <w:rPr/>
              <w:t>”), each series of Debt Securities to be issued under an indenture to be entered into by the Company and the applicable trustee, substantially in the form attached as an exhibit to the Registration Statement (as defined in Schedule 1), as each such Indenture Document (as defined in Schedule 1) may be supplemented, in connection with the issuance of each such series (any such supplemental document, together, the “</w:t>
            </w:r>
            <w:r>
              <w:rPr>
                <w:b/>
              </w:rPr>
              <w:t>Supplement</w:t>
            </w:r>
            <w:r>
              <w:rPr/>
              <w:t>”), by a supplemental indenture, officers’ certificate, resolution of the board of directors of the Company (the “</w:t>
            </w:r>
            <w:r>
              <w:rPr>
                <w:b/>
              </w:rPr>
              <w:t>Board</w:t>
            </w:r>
            <w:r>
              <w:rPr/>
              <w:t>”) or other writing thereunder establishing the form and terms of such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and relied upon the originals or copies of the documents listed in Schedule 1. </w:t>
      </w:r>
    </w:p>
    <w:p>
      <w:pPr>
        <w:pStyle w:val="TextBody"/>
        <w:bidi w:val="0"/>
        <w:spacing w:before="0" w:after="0"/>
        <w:ind w:left="14" w:right="0" w:hanging="7"/>
        <w:jc w:val="both"/>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Walkers</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 Elgin Avenue, George Town</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KY1-9001, Cayman Islands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+1 345 949 0100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+1 345 949 7886 www.walkersglobal.com</w:t>
            </w:r>
          </w:p>
        </w:tc>
      </w:tr>
    </w:tbl>
    <w:p>
      <w:pPr>
        <w:pStyle w:val="TextBody"/>
        <w:bidi w:val="0"/>
        <w:spacing w:before="240" w:after="12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rPr>
      </w:pPr>
      <w:r>
        <w:rPr>
          <w:b/>
        </w:rPr>
        <w:t>WALKERS</w:t>
      </w:r>
    </w:p>
    <w:p>
      <w:pPr>
        <w:pStyle w:val="TextBody"/>
        <w:bidi w:val="0"/>
        <w:spacing w:before="0" w:after="0"/>
        <w:ind w:left="0" w:right="0" w:hanging="0"/>
        <w:jc w:val="left"/>
        <w:rPr/>
      </w:pPr>
      <w:r>
        <w:rPr/>
        <w:t> </w:t>
      </w:r>
    </w:p>
    <w:p>
      <w:pPr>
        <w:pStyle w:val="TextBody"/>
        <w:bidi w:val="0"/>
        <w:spacing w:before="0" w:after="0"/>
        <w:ind w:left="14" w:right="0" w:hanging="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 Except as explicitly stated herein, we express no opinion in relation to any representation or warranty contained in the Documents nor upon matters of fact or the commercial terms of the transactions contemplated by the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examinations and the assumptions and qualifications set out below and having regard to legal considerations which we consider relevant, and under the laws of the Cayman Islands, we give the following opinion in relation to the matters set out below.</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1.</w:t>
            </w:r>
          </w:p>
        </w:tc>
        <w:tc>
          <w:tcPr>
            <w:tcW w:w="10003" w:type="dxa"/>
            <w:tcBorders/>
            <w:vAlign w:val="center"/>
          </w:tcPr>
          <w:p>
            <w:pPr>
              <w:pStyle w:val="TableContents"/>
              <w:bidi w:val="0"/>
              <w:spacing w:before="0" w:after="283"/>
              <w:jc w:val="both"/>
              <w:rPr/>
            </w:pPr>
            <w:r>
              <w:rPr/>
              <w:t>The Company is an exempted company duly incorporated with limited liability, validly existing under the laws of the Cayman Islands and in good standing with the Registrar of Companies in the Cayman Islands (the “</w:t>
            </w:r>
            <w:r>
              <w:rPr>
                <w:b/>
              </w:rPr>
              <w:t>Registrar</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2.</w:t>
            </w:r>
          </w:p>
        </w:tc>
        <w:tc>
          <w:tcPr>
            <w:tcW w:w="10022" w:type="dxa"/>
            <w:tcBorders/>
            <w:vAlign w:val="center"/>
          </w:tcPr>
          <w:p>
            <w:pPr>
              <w:pStyle w:val="TableContents"/>
              <w:bidi w:val="0"/>
              <w:spacing w:before="0" w:after="283"/>
              <w:jc w:val="both"/>
              <w:rPr/>
            </w:pPr>
            <w:r>
              <w:rPr/>
              <w:t>With respect to the Ordinary Shares and the Preferred Shares: when (a) the Board has taken all necessary corporate action to approve the issuance thereof, the terms of the offering thereof and related matters; (b) the provisions of the applicable definitive purchase, underwriting or similar agreement approved by the Board have been satisfied and payment of the consideration specified therein (being not less than their par value) has been made; and (c) the name of the registered owner thereof has been entered in the Register of Members of the Company confirming that such shares have been issued credited as fully paid, then the Ordinary Shares and/or the Preferred Shares (as applicable) will have been duly authorised and validly issued, fully paid and non-assessable (meaning that no additional sums may be levied on the holder thereof in respect of the shares by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3.</w:t>
            </w:r>
          </w:p>
        </w:tc>
        <w:tc>
          <w:tcPr>
            <w:tcW w:w="10023" w:type="dxa"/>
            <w:tcBorders/>
            <w:vAlign w:val="center"/>
          </w:tcPr>
          <w:p>
            <w:pPr>
              <w:pStyle w:val="TableContents"/>
              <w:bidi w:val="0"/>
              <w:spacing w:before="0" w:after="283"/>
              <w:jc w:val="both"/>
              <w:rPr/>
            </w:pPr>
            <w:r>
              <w:rPr/>
              <w:t>With respect to each issue of Debt Securities pursuant to the relevant Indenture Document and Supplement, when: (a) the Board has taken all necessary corporate action to approve the issuance thereof, the terms of the offering thereof and related matters and the execution, delivery and performance of any Supplement; and (b) such Debt Securities issued thereunder have been duly executed and authenticated, and all other preconditions to the issuance of the Debt Securities have been satisfied or duly waived on behalf of the Company in the manner set forth in the relevant Indenture Document and Supplement relating to such issue of Debt Securities and delivered against due payment therefor pursuant to, and in accordance with, the terms of the Registration Statement and any relevant prospectus supplement (as the case may be), such Debt Securities issued pursuant to the relevant Indenture Document and Supplement will have been duly executed and issued.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4.</w:t>
            </w:r>
          </w:p>
        </w:tc>
        <w:tc>
          <w:tcPr>
            <w:tcW w:w="10024" w:type="dxa"/>
            <w:tcBorders/>
            <w:vAlign w:val="center"/>
          </w:tcPr>
          <w:p>
            <w:pPr>
              <w:pStyle w:val="TableContents"/>
              <w:bidi w:val="0"/>
              <w:spacing w:before="0" w:after="283"/>
              <w:jc w:val="both"/>
              <w:rPr/>
            </w:pPr>
            <w:r>
              <w:rPr/>
              <w:t>With respect to each issue of Warrants pursuant to the relevant Warrant Documents, when: (a) the Board has taken all necessary corporate action to approve the issuance thereof, the terms of the offering thereof and related matters and the execution, delivery and performance of any of the Warrant Documents; and (b) such Warrants issued thereunder have been duly authorised and validly executed by the Company and any other parties thereto, and all other preconditions to the issuance of the Warrants (including without limitation the execution, registration and delivery in accordance with the terms of the relevant Warrant Documents of any Warrant Certificates) have been satisfied or duly waived on behalf of the Company in the manner set forth in the relevant Warrant Documents relating to such issue of Warrants and delivered against due payment therefor pursuant to, and in accordance with, the terms of the Registration Statement and any relevant prospectus supplement (as the case may be), such Warrants issued pursuant to the relevant Warrant Documents will be legal, valid and binding obligations of the Company.</w:t>
            </w:r>
          </w:p>
        </w:tc>
      </w:tr>
    </w:tbl>
    <w:p>
      <w:pPr>
        <w:pStyle w:val="TextBody"/>
        <w:bidi w:val="0"/>
        <w:spacing w:before="0" w:after="0"/>
        <w:ind w:left="7" w:right="0" w:hanging="7"/>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 w:right="0" w:hanging="7"/>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w:t>
      </w:r>
    </w:p>
    <w:p>
      <w:pPr>
        <w:pStyle w:val="TextBody"/>
        <w:bidi w:val="0"/>
        <w:spacing w:before="0" w:after="0"/>
        <w:ind w:left="7" w:right="0" w:hanging="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5.</w:t>
            </w:r>
          </w:p>
        </w:tc>
        <w:tc>
          <w:tcPr>
            <w:tcW w:w="10023" w:type="dxa"/>
            <w:tcBorders/>
            <w:vAlign w:val="center"/>
          </w:tcPr>
          <w:p>
            <w:pPr>
              <w:pStyle w:val="TableContents"/>
              <w:bidi w:val="0"/>
              <w:spacing w:before="0" w:after="283"/>
              <w:jc w:val="both"/>
              <w:rPr/>
            </w:pPr>
            <w:r>
              <w:rPr/>
              <w:t>With respect to each issue of Units pursuant to the relevant Unit Documents, when: (a) the Board has taken all necessary corporate action to approve the issuance thereof, the terms of the offering thereof and related matters and the execution, delivery and performance of any of the Unit Documents; and (b) such Units issued thereunder have been duly authorised and validly executed by the Company and any other parties thereto, and all other preconditions to the issuance of the Units (including without limitation the execution, registration and delivery in accordance with the terms of the relevant Unit Documents of any Unit Certificates) have been satisfied or duly waived on behalf of the Company in the manner set forth in the relevant Unit Documents relating to such issue of Units and delivered against due payment therefor pursuant to, and in accordance with, the terms of the Registration Statement and any relevant prospectus supplement (as the case may be), such Units issued pursuant to the relevant Unit Documents will be legal, valid and binding obligations of the Company.</w:t>
            </w:r>
          </w:p>
        </w:tc>
      </w:tr>
    </w:tbl>
    <w:p>
      <w:pPr>
        <w:pStyle w:val="TextBody"/>
        <w:bidi w:val="0"/>
        <w:spacing w:before="0" w:after="0"/>
        <w:ind w:left="7" w:right="0" w:hanging="7"/>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given based on the following assumptions.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both"/>
              <w:rPr/>
            </w:pPr>
            <w:r>
              <w:rPr/>
              <w:t>The originals of all documents examined in connection with this opinion are authentic. The signatures, initials and seals on the Documents (as defined in Schedule 1) are genuine and are those of a person or persons given power to execute the Documents under the Resolutions (as defined in Schedule 1). All documents purporting to be sealed have been so sealed. All copies are complete and conform to their originals. The Documents conform in every material respect to the latest drafts of the same produced to us and, where provided in successive drafts, have been marked up to indicate all changes to such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both"/>
              <w:rPr/>
            </w:pPr>
            <w:r>
              <w:rPr/>
              <w:t>We have relied upon the statements and representations of directors, officers and other representatives of the Company as to factual matters.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3.</w:t>
            </w:r>
          </w:p>
        </w:tc>
        <w:tc>
          <w:tcPr>
            <w:tcW w:w="10003" w:type="dxa"/>
            <w:tcBorders/>
            <w:vAlign w:val="center"/>
          </w:tcPr>
          <w:p>
            <w:pPr>
              <w:pStyle w:val="TableContents"/>
              <w:bidi w:val="0"/>
              <w:spacing w:before="0" w:after="283"/>
              <w:jc w:val="both"/>
              <w:rPr/>
            </w:pPr>
            <w:r>
              <w:rPr/>
              <w:t>The Memorandum and Articles of Association reviewed by us will be the memorandum and articles of association of the Company in effect upon the issuance of the Ordinary Shares, the Preferred Shares and the Debt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4.</w:t>
            </w:r>
          </w:p>
        </w:tc>
        <w:tc>
          <w:tcPr>
            <w:tcW w:w="10019" w:type="dxa"/>
            <w:tcBorders/>
            <w:vAlign w:val="center"/>
          </w:tcPr>
          <w:p>
            <w:pPr>
              <w:pStyle w:val="TableContents"/>
              <w:bidi w:val="0"/>
              <w:spacing w:before="0" w:after="283"/>
              <w:jc w:val="both"/>
              <w:rPr/>
            </w:pPr>
            <w:r>
              <w:rPr/>
              <w:t>Each prospectus supplement and the documents or agreements referred to therein, including without limitation, the Warrants and any document associated therewith, the Units and any document associated therewith and the Debt Securities and any document associated therewith, will be duly authorised, executed and delivered by or on behalf of all relevant parties prior to the issue and sale of Ordinary Shares, Preferred Shares, Warrants, Units and Debt Securities and will be legal, valid, binding and enforceable against all relevant parties in accordance with their terms under all relevant laws (other than the laws of the Cayman Islands).</w:t>
            </w:r>
          </w:p>
        </w:tc>
      </w:tr>
    </w:tbl>
    <w:p>
      <w:pPr>
        <w:pStyle w:val="TextBody"/>
        <w:bidi w:val="0"/>
        <w:spacing w:before="0" w:after="0"/>
        <w:ind w:left="7" w:right="0" w:hanging="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5.</w:t>
            </w:r>
          </w:p>
        </w:tc>
        <w:tc>
          <w:tcPr>
            <w:tcW w:w="10014" w:type="dxa"/>
            <w:tcBorders/>
            <w:vAlign w:val="center"/>
          </w:tcPr>
          <w:p>
            <w:pPr>
              <w:pStyle w:val="TableContents"/>
              <w:bidi w:val="0"/>
              <w:spacing w:before="0" w:after="283"/>
              <w:jc w:val="both"/>
              <w:rPr/>
            </w:pPr>
            <w:r>
              <w:rPr/>
              <w:t>The Company will offer, issue and sell the Ordinary Shares, the Preferred Shares, the Warrants, the Units and the Debt Securities in the manner contemplated by the Registration Statement and any prospectus supplement (as the case may be) and the documents or agreements referred to therein and otherwise in compliance with all applicable United States federal and state securities laws.</w:t>
            </w:r>
          </w:p>
        </w:tc>
      </w:tr>
    </w:tbl>
    <w:p>
      <w:pPr>
        <w:pStyle w:val="TextBody"/>
        <w:bidi w:val="0"/>
        <w:spacing w:before="0" w:after="0"/>
        <w:ind w:left="7" w:right="0" w:hanging="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6.</w:t>
            </w:r>
          </w:p>
        </w:tc>
        <w:tc>
          <w:tcPr>
            <w:tcW w:w="10002" w:type="dxa"/>
            <w:tcBorders/>
            <w:vAlign w:val="center"/>
          </w:tcPr>
          <w:p>
            <w:pPr>
              <w:pStyle w:val="TableContents"/>
              <w:bidi w:val="0"/>
              <w:spacing w:before="0" w:after="283"/>
              <w:jc w:val="both"/>
              <w:rPr/>
            </w:pPr>
            <w:r>
              <w:rPr/>
              <w:t>The Company Records (as defined in Schedule 1) are complete and accurate and all matters required by law and the Memorandum and Articles of Association to be recorded therein are completely and accurately so recorded.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7.</w:t>
            </w:r>
          </w:p>
        </w:tc>
        <w:tc>
          <w:tcPr>
            <w:tcW w:w="9984" w:type="dxa"/>
            <w:tcBorders/>
            <w:vAlign w:val="center"/>
          </w:tcPr>
          <w:p>
            <w:pPr>
              <w:pStyle w:val="TableContents"/>
              <w:bidi w:val="0"/>
              <w:spacing w:before="0" w:after="283"/>
              <w:jc w:val="both"/>
              <w:rPr/>
            </w:pPr>
            <w:r>
              <w:rPr/>
              <w:t>The accuracy and completeness of all factual representations made in the Registration Statement and all other documents reviewed by us.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8.</w:t>
            </w:r>
          </w:p>
        </w:tc>
        <w:tc>
          <w:tcPr>
            <w:tcW w:w="10006" w:type="dxa"/>
            <w:tcBorders/>
            <w:vAlign w:val="center"/>
          </w:tcPr>
          <w:p>
            <w:pPr>
              <w:pStyle w:val="TableContents"/>
              <w:bidi w:val="0"/>
              <w:spacing w:before="0" w:after="283"/>
              <w:jc w:val="both"/>
              <w:rPr/>
            </w:pPr>
            <w:r>
              <w:rPr/>
              <w:t>The Company will receive consideration in money or money’s worth for each of the Ordinary Shares and the Preferred Shares when issued, such price in any event not being less than the stated par or nominal value of each Ordinary Share and Preferred Share.</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9.</w:t>
            </w:r>
          </w:p>
        </w:tc>
        <w:tc>
          <w:tcPr>
            <w:tcW w:w="9977" w:type="dxa"/>
            <w:tcBorders/>
            <w:vAlign w:val="center"/>
          </w:tcPr>
          <w:p>
            <w:pPr>
              <w:pStyle w:val="TableContents"/>
              <w:bidi w:val="0"/>
              <w:spacing w:before="0" w:after="283"/>
              <w:jc w:val="both"/>
              <w:rPr/>
            </w:pPr>
            <w:r>
              <w:rPr/>
              <w:t>The Resolutions have been duly executed by or on behalf of each director of the Board of Directors of the Company (the “</w:t>
            </w:r>
            <w:r>
              <w:rPr>
                <w:b/>
              </w:rPr>
              <w:t>Board</w:t>
            </w:r>
            <w:r>
              <w:rPr/>
              <w:t>”) and the signatures and initials thereon are those of a person or persons in whose name the Resolutions have been expressed to be signed, are and shall remain in full force and effect and have not been and will not be modified, amended, or rescinded since the respective dates thereof.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10.</w:t>
            </w:r>
          </w:p>
        </w:tc>
        <w:tc>
          <w:tcPr>
            <w:tcW w:w="9897" w:type="dxa"/>
            <w:tcBorders/>
            <w:vAlign w:val="center"/>
          </w:tcPr>
          <w:p>
            <w:pPr>
              <w:pStyle w:val="TableContents"/>
              <w:bidi w:val="0"/>
              <w:spacing w:before="0" w:after="283"/>
              <w:jc w:val="both"/>
              <w:rPr/>
            </w:pPr>
            <w:r>
              <w:rPr/>
              <w:t>The Documents and any Supplement, the Warrants issuable under the Warrant Documents, the Units issuable under the Unit Documents and the Debt Securities issuable under the Indenture Documents and any Supplement, have been, or will be, duly authorised, executed and delivered by or on behalf of all relevant parties and are, or will be, legal, valid, binding and enforceable against all relevant parties in accordance with their terms under all relevant laws (other than the laws of the Cayman Islands).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11.</w:t>
            </w:r>
          </w:p>
        </w:tc>
        <w:tc>
          <w:tcPr>
            <w:tcW w:w="9891" w:type="dxa"/>
            <w:tcBorders/>
            <w:vAlign w:val="center"/>
          </w:tcPr>
          <w:p>
            <w:pPr>
              <w:pStyle w:val="TableContents"/>
              <w:bidi w:val="0"/>
              <w:spacing w:before="0" w:after="283"/>
              <w:jc w:val="both"/>
              <w:rPr/>
            </w:pPr>
            <w:r>
              <w:rPr/>
              <w:t>The choice of the laws of the jurisdiction selected to govern each of the Documents, the Warrants, the Units and the Debt Securities, has been made in good faith and will be regarded as a valid and binding selection which will be upheld in the courts of that jurisdiction and all relevant jurisdictions (other than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12.</w:t>
            </w:r>
          </w:p>
        </w:tc>
        <w:tc>
          <w:tcPr>
            <w:tcW w:w="9895" w:type="dxa"/>
            <w:tcBorders/>
            <w:vAlign w:val="center"/>
          </w:tcPr>
          <w:p>
            <w:pPr>
              <w:pStyle w:val="TableContents"/>
              <w:bidi w:val="0"/>
              <w:spacing w:before="0" w:after="283"/>
              <w:jc w:val="both"/>
              <w:rPr/>
            </w:pPr>
            <w:r>
              <w:rPr/>
              <w:t>All preconditions to the issue of the Debt Securities under the terms of the relevant Indenture Document and Supplement will be satisfied or duly waived prior to the issue of the Debt Securities, there will be no breach of the terms of the relevant Indenture Document and Supplement and the Debt Securities will be issued in accordance with a duly authorised, executed and delivered Indenture Document and Supplement.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13.</w:t>
            </w:r>
          </w:p>
        </w:tc>
        <w:tc>
          <w:tcPr>
            <w:tcW w:w="9898" w:type="dxa"/>
            <w:tcBorders/>
            <w:vAlign w:val="center"/>
          </w:tcPr>
          <w:p>
            <w:pPr>
              <w:pStyle w:val="TableContents"/>
              <w:bidi w:val="0"/>
              <w:spacing w:before="0" w:after="283"/>
              <w:jc w:val="both"/>
              <w:rPr/>
            </w:pPr>
            <w:r>
              <w:rPr/>
              <w:t>All preconditions to the issue of the Warrants under the terms of the relevant Warrant Documents and the Units under the terms of the relevant Unit Documents will be satisfied or duly waived prior to the issue of the Warrants and the issue of the Units respectively, there will be no breach of the terms of the relevant Warrant Documents or the relevant Unit Documents and the Warrants and the Units will be issued in accordance with duly authorised, executed and delivered Warrant Documents and Unit Documents respectively.</w:t>
            </w:r>
          </w:p>
        </w:tc>
      </w:tr>
    </w:tbl>
    <w:p>
      <w:pPr>
        <w:pStyle w:val="TextBody"/>
        <w:bidi w:val="0"/>
        <w:spacing w:before="0" w:after="0"/>
        <w:ind w:left="7" w:right="0" w:hanging="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14.</w:t>
            </w:r>
          </w:p>
        </w:tc>
        <w:tc>
          <w:tcPr>
            <w:tcW w:w="9895" w:type="dxa"/>
            <w:tcBorders/>
            <w:vAlign w:val="center"/>
          </w:tcPr>
          <w:p>
            <w:pPr>
              <w:pStyle w:val="TableContents"/>
              <w:bidi w:val="0"/>
              <w:spacing w:before="0" w:after="283"/>
              <w:jc w:val="both"/>
              <w:rPr/>
            </w:pPr>
            <w:r>
              <w:rPr/>
              <w:t>All authorisations, approvals, consents, licences and exemptions required by, and all filings and other steps required of each of the parties to the Documents outside the Cayman Islands to ensure the legality, validity and enforceability of the Documents have been or will be duly obtained, made or fulfilled and are and will remain in full force and effect and any conditions to which they are subject have been satisfied.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15.</w:t>
            </w:r>
          </w:p>
        </w:tc>
        <w:tc>
          <w:tcPr>
            <w:tcW w:w="9889" w:type="dxa"/>
            <w:tcBorders/>
            <w:vAlign w:val="center"/>
          </w:tcPr>
          <w:p>
            <w:pPr>
              <w:pStyle w:val="TableContents"/>
              <w:bidi w:val="0"/>
              <w:spacing w:before="0" w:after="283"/>
              <w:jc w:val="both"/>
              <w:rPr/>
            </w:pPr>
            <w:r>
              <w:rPr/>
              <w:t>The issue of the Warrants issuable under the Warrant Documents, the Units issuable under the Unit Documents, the Debt Securities issuable under the Indenture Documents and Supplements, and the Ordinary Shares and the Preferred Shares, will be of commercial benefit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16.</w:t>
            </w:r>
          </w:p>
        </w:tc>
        <w:tc>
          <w:tcPr>
            <w:tcW w:w="9882" w:type="dxa"/>
            <w:tcBorders/>
            <w:vAlign w:val="center"/>
          </w:tcPr>
          <w:p>
            <w:pPr>
              <w:pStyle w:val="TableContents"/>
              <w:bidi w:val="0"/>
              <w:spacing w:before="0" w:after="283"/>
              <w:jc w:val="both"/>
              <w:rPr/>
            </w:pPr>
            <w:r>
              <w:rPr/>
              <w:t>No invitation has been made or will be made by or on behalf of the Company to the public in the Cayman Islands to subscribe for any of the Ordinary Shares, the Preferred Shares, the Warrants, the Units or the Debt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17.</w:t>
            </w:r>
          </w:p>
        </w:tc>
        <w:tc>
          <w:tcPr>
            <w:tcW w:w="9898" w:type="dxa"/>
            <w:tcBorders/>
            <w:vAlign w:val="center"/>
          </w:tcPr>
          <w:p>
            <w:pPr>
              <w:pStyle w:val="TableContents"/>
              <w:bidi w:val="0"/>
              <w:spacing w:before="0" w:after="283"/>
              <w:jc w:val="both"/>
              <w:rPr/>
            </w:pPr>
            <w:r>
              <w:rPr/>
              <w:t>There are no provisions of the laws of any jurisdiction outside the Cayman Islands which would be contravened by the issuance and allotment of the Ordinary Shares, the Preferred Shares, the Warrants, the Units or the Debt Securities and, insofar as any obligation expressed to be incurred under any of the Documents, the Warrants, the Units or the Debt Securities is to be performed in or is otherwise subject to the laws of any jurisdiction outside the Cayman Islands, its performance will not be illegal by virtue of the laws of that jurisdiction.</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18.</w:t>
            </w:r>
          </w:p>
        </w:tc>
        <w:tc>
          <w:tcPr>
            <w:tcW w:w="9865" w:type="dxa"/>
            <w:tcBorders/>
            <w:vAlign w:val="center"/>
          </w:tcPr>
          <w:p>
            <w:pPr>
              <w:pStyle w:val="TableContents"/>
              <w:bidi w:val="0"/>
              <w:spacing w:before="0" w:after="283"/>
              <w:jc w:val="both"/>
              <w:rPr/>
            </w:pPr>
            <w:r>
              <w:rPr/>
              <w:t>There is nothing under any law (other than the laws of the Cayman Islands) which would or might affect any of the opinions set forth above.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19.</w:t>
            </w:r>
          </w:p>
        </w:tc>
        <w:tc>
          <w:tcPr>
            <w:tcW w:w="9867" w:type="dxa"/>
            <w:tcBorders/>
            <w:vAlign w:val="center"/>
          </w:tcPr>
          <w:p>
            <w:pPr>
              <w:pStyle w:val="TableContents"/>
              <w:bidi w:val="0"/>
              <w:spacing w:before="0" w:after="283"/>
              <w:jc w:val="both"/>
              <w:rPr/>
            </w:pPr>
            <w:r>
              <w:rPr/>
              <w:t>There will be nothing in any Supplement, Warrant Document or Unit Document which would or might affect any of the opinions set forth above.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20.</w:t>
            </w:r>
          </w:p>
        </w:tc>
        <w:tc>
          <w:tcPr>
            <w:tcW w:w="9896" w:type="dxa"/>
            <w:tcBorders/>
            <w:vAlign w:val="center"/>
          </w:tcPr>
          <w:p>
            <w:pPr>
              <w:pStyle w:val="TableContents"/>
              <w:bidi w:val="0"/>
              <w:spacing w:before="0" w:after="283"/>
              <w:jc w:val="both"/>
              <w:rPr/>
            </w:pPr>
            <w:r>
              <w:rPr/>
              <w:t>The Company was, or will be, on the date of execution of the Documents to which it is a party able to pay its debts as they became due from its own moneys, and any disposition or settlement of property effected by any of the Documents is made in good faith and for valuable consideration and at the time of each disposition of property by the Company pursuant to the Documents the Company will be able to pay its debts as they become due from its own moneys.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21.</w:t>
            </w:r>
          </w:p>
        </w:tc>
        <w:tc>
          <w:tcPr>
            <w:tcW w:w="9867" w:type="dxa"/>
            <w:tcBorders/>
            <w:vAlign w:val="center"/>
          </w:tcPr>
          <w:p>
            <w:pPr>
              <w:pStyle w:val="TableContents"/>
              <w:bidi w:val="0"/>
              <w:spacing w:before="0" w:after="283"/>
              <w:jc w:val="both"/>
              <w:rPr/>
            </w:pPr>
            <w:r>
              <w:rPr/>
              <w:t>On the date of issuance of the Ordinary Shares and the Preferred Shares, the Company will have sufficient authorised and unissued share capital.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22.</w:t>
            </w:r>
          </w:p>
        </w:tc>
        <w:tc>
          <w:tcPr>
            <w:tcW w:w="9899" w:type="dxa"/>
            <w:tcBorders/>
            <w:vAlign w:val="center"/>
          </w:tcPr>
          <w:p>
            <w:pPr>
              <w:pStyle w:val="TableContents"/>
              <w:bidi w:val="0"/>
              <w:spacing w:before="0" w:after="283"/>
              <w:jc w:val="both"/>
              <w:rPr/>
            </w:pPr>
            <w:r>
              <w:rPr/>
              <w:t>No amounts paid to or for the account of any party under the Documents or any property received or disposed of by any party to the Documents in each case in connection with the performance of the Documents or the consummation of the transactions contemplated thereby, represent or will represent proceeds of criminal conduct or criminal property as defined in the Proceeds of Crime Act (as amended) (the “</w:t>
            </w:r>
            <w:r>
              <w:rPr>
                <w:b/>
              </w:rPr>
              <w:t>POCA</w:t>
            </w:r>
            <w:r>
              <w:rPr/>
              <w:t>”) or terrorist property as defined in the POCA or the Terrorism Act (as amended) (the “</w:t>
            </w:r>
            <w:r>
              <w:rPr>
                <w:b/>
              </w:rPr>
              <w:t>Terrorism Act</w:t>
            </w:r>
            <w:r>
              <w:rPr/>
              <w:t>”), each of the Cayman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qualifications: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both"/>
              <w:rPr/>
            </w:pPr>
            <w:r>
              <w:rPr/>
              <w:t>The term “</w:t>
            </w:r>
            <w:r>
              <w:rPr>
                <w:b/>
              </w:rPr>
              <w:t>enforceable</w:t>
            </w:r>
            <w:r>
              <w:rPr/>
              <w:t>” and its cognates as used in this opinion means that the obligations assumed by any party under the Documents are of a type which the courts of the Cayman Islands (the “</w:t>
            </w:r>
            <w:r>
              <w:rPr>
                <w:b/>
              </w:rPr>
              <w:t>Courts</w:t>
            </w:r>
            <w:r>
              <w:rPr/>
              <w:t>” and each a “</w:t>
            </w:r>
            <w:r>
              <w:rPr>
                <w:b/>
              </w:rPr>
              <w:t>Court</w:t>
            </w:r>
            <w:r>
              <w:rPr/>
              <w:t>”) enforce. This does not mean that those obligations will necessarily be enforced in all circumstances in accordance with their terms. In particular: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enforcement of obligations and the priority of obligations may be limited by bankruptcy, insolvency, liquidation, restructuring, reorganisation, readjustment of debts or moratorium and other laws of general application relating to or affecting the rights of creditors or by prescription or lapse of time;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pPr>
            <w:r>
              <w:rPr/>
              <w:t>enforcement may be limited by general principles of equity and, in particular, the availability of certain equitable remedies such as injunction or specific performance of an obligation may be limited where a Court considers damages to be an adequate remedy;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(c)</w:t>
            </w:r>
          </w:p>
        </w:tc>
        <w:tc>
          <w:tcPr>
            <w:tcW w:w="9918" w:type="dxa"/>
            <w:tcBorders/>
            <w:vAlign w:val="center"/>
          </w:tcPr>
          <w:p>
            <w:pPr>
              <w:pStyle w:val="TableContents"/>
              <w:bidi w:val="0"/>
              <w:spacing w:before="0" w:after="283"/>
              <w:jc w:val="both"/>
              <w:rPr/>
            </w:pPr>
            <w:r>
              <w:rPr/>
              <w:t>claims may become barred under statutes of limitation or may be or become subject to defences of set-off, counterclaim, estoppel and similar defences;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(d)</w:t>
            </w:r>
          </w:p>
        </w:tc>
        <w:tc>
          <w:tcPr>
            <w:tcW w:w="9925" w:type="dxa"/>
            <w:tcBorders/>
            <w:vAlign w:val="center"/>
          </w:tcPr>
          <w:p>
            <w:pPr>
              <w:pStyle w:val="TableContents"/>
              <w:bidi w:val="0"/>
              <w:spacing w:before="0" w:after="283"/>
              <w:jc w:val="both"/>
              <w:rPr/>
            </w:pPr>
            <w:r>
              <w:rPr/>
              <w:t>where obligations are to be performed in a jurisdiction outside the Cayman Islands, they may not be enforceable in the Cayman Islands to the extent that performance would be illegal under the laws of, or contrary to the public policy of, that jurisdiction;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66"/>
        <w:gridCol w:w="9789"/>
      </w:tblGrid>
      <w:tr>
        <w:trPr/>
        <w:tc>
          <w:tcPr>
            <w:tcW w:w="5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(e)</w:t>
            </w:r>
          </w:p>
        </w:tc>
        <w:tc>
          <w:tcPr>
            <w:tcW w:w="9789" w:type="dxa"/>
            <w:tcBorders/>
            <w:vAlign w:val="center"/>
          </w:tcPr>
          <w:p>
            <w:pPr>
              <w:pStyle w:val="TableContents"/>
              <w:bidi w:val="0"/>
              <w:spacing w:before="0" w:after="283"/>
              <w:jc w:val="both"/>
              <w:rPr/>
            </w:pPr>
            <w:r>
              <w:rPr/>
              <w:t>a judgment of a Court may be required to be made in Cayman Islands dollars;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(f)</w:t>
            </w:r>
          </w:p>
        </w:tc>
        <w:tc>
          <w:tcPr>
            <w:tcW w:w="9982" w:type="dxa"/>
            <w:tcBorders/>
            <w:vAlign w:val="center"/>
          </w:tcPr>
          <w:p>
            <w:pPr>
              <w:pStyle w:val="TableContents"/>
              <w:bidi w:val="0"/>
              <w:spacing w:before="0" w:after="283"/>
              <w:jc w:val="both"/>
              <w:rPr/>
            </w:pPr>
            <w:r>
              <w:rPr/>
              <w:t>to the extent that any provision of the Documents is adjudicated to be penal in nature, it will not be enforceable in the Courts; in particular, the enforceability of any provision of the Documents that is adjudicated to constitute a secondary obligation which imposes a detriment on the contract-breaker out of all proportion to any legitimate interest of the innocent party in the enforcement of the primary obligation may be limited;</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(g)</w:t>
            </w:r>
          </w:p>
        </w:tc>
        <w:tc>
          <w:tcPr>
            <w:tcW w:w="9909" w:type="dxa"/>
            <w:tcBorders/>
            <w:vAlign w:val="center"/>
          </w:tcPr>
          <w:p>
            <w:pPr>
              <w:pStyle w:val="TableContents"/>
              <w:bidi w:val="0"/>
              <w:spacing w:before="0" w:after="283"/>
              <w:jc w:val="both"/>
              <w:rPr/>
            </w:pPr>
            <w:r>
              <w:rPr/>
              <w:t>to the extent that the performance of any obligation arising under the Documents would be fraudulent or contrary to public policy, it will not be enforceable in the Courts;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(h)</w:t>
            </w:r>
          </w:p>
        </w:tc>
        <w:tc>
          <w:tcPr>
            <w:tcW w:w="9937" w:type="dxa"/>
            <w:tcBorders/>
            <w:vAlign w:val="center"/>
          </w:tcPr>
          <w:p>
            <w:pPr>
              <w:pStyle w:val="TableContents"/>
              <w:bidi w:val="0"/>
              <w:spacing w:before="0" w:after="283"/>
              <w:jc w:val="both"/>
              <w:rPr/>
            </w:pPr>
            <w:r>
              <w:rPr/>
              <w:t>in the case of an insolvent liquidation of the Company, its liabilities are required to be translated into the functional currency of the Company (being the currency of the primary economic environment in which it operated as at the commencement of the liquidation) at the exchange rates prevailing on the date of commencement of the voluntary liquidation or the day on which the winding up order is made (as the case may be);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w:t>
            </w:r>
          </w:p>
        </w:tc>
        <w:tc>
          <w:tcPr>
            <w:tcW w:w="9944" w:type="dxa"/>
            <w:tcBorders/>
            <w:vAlign w:val="center"/>
          </w:tcPr>
          <w:p>
            <w:pPr>
              <w:pStyle w:val="TableContents"/>
              <w:bidi w:val="0"/>
              <w:spacing w:before="0" w:after="283"/>
              <w:jc w:val="both"/>
              <w:rPr/>
            </w:pPr>
            <w:r>
              <w:rPr/>
              <w:t>a Court will not necessarily award costs in litigation in accordance with contractual provisions in this regard;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(j)</w:t>
            </w:r>
          </w:p>
        </w:tc>
        <w:tc>
          <w:tcPr>
            <w:tcW w:w="9994" w:type="dxa"/>
            <w:tcBorders/>
            <w:vAlign w:val="center"/>
          </w:tcPr>
          <w:p>
            <w:pPr>
              <w:pStyle w:val="TableContents"/>
              <w:bidi w:val="0"/>
              <w:spacing w:before="0" w:after="283"/>
              <w:jc w:val="both"/>
              <w:rPr/>
            </w:pPr>
            <w:r>
              <w:rPr/>
              <w:t>the effectiveness of terms in the Documents excusing any party from a liability or duty otherwise owed or indemnifying that party from the consequences of incurring such liability or breaching such duty shall be construed in accordance with, and shall be limited by, applicable law, including generally applicable rules and principles of common law and equity.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5" w:type="dxa"/>
            <w:tcBorders/>
            <w:vAlign w:val="center"/>
          </w:tcPr>
          <w:p>
            <w:pPr>
              <w:pStyle w:val="TableContents"/>
              <w:bidi w:val="0"/>
              <w:spacing w:before="0" w:after="283"/>
              <w:jc w:val="both"/>
              <w:rPr/>
            </w:pPr>
            <w:r>
              <w:rPr/>
              <w:t>Our opinion as to good standing is based solely upon receipt of the Certificate of Good Standing (as defined in Schedule 1) issued by the Registrar. The Company shall be deemed to be in good standing under section 200A of the Companies Act on the date of issue of the certificate if all fees and penalties under the Companies Act have been paid and the Registrar has no knowledge that the Company is in default under the Companies Act.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3.</w:t>
            </w:r>
          </w:p>
        </w:tc>
        <w:tc>
          <w:tcPr>
            <w:tcW w:w="10010" w:type="dxa"/>
            <w:tcBorders/>
            <w:vAlign w:val="center"/>
          </w:tcPr>
          <w:p>
            <w:pPr>
              <w:pStyle w:val="TableContents"/>
              <w:bidi w:val="0"/>
              <w:spacing w:before="0" w:after="283"/>
              <w:jc w:val="both"/>
              <w:rPr/>
            </w:pPr>
            <w:r>
              <w:rPr/>
              <w:t>We have not reviewed the final forms of the Indenture Documents or the Debt Securities to be issued thereunder, nor drafts or final forms of the Warrant Documents or the Warrants to be issued thereunder or the Unit Documents or the Units to be issued thereunder, and our opinions are qualified accordingly.</w:t>
            </w:r>
          </w:p>
        </w:tc>
      </w:tr>
    </w:tbl>
    <w:p>
      <w:pPr>
        <w:pStyle w:val="TextBody"/>
        <w:bidi w:val="0"/>
        <w:spacing w:before="0" w:after="0"/>
        <w:ind w:left="7" w:right="0" w:hanging="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other than persons entitled to rely upon it pursuant to the provisions of the Securities Act, without our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shall be construed in accordance with the laws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as an exhibit to the Registration Statement and further consent to all references to us in the Registration Statement and any amendments thereto.</w:t>
      </w:r>
    </w:p>
    <w:p>
      <w:pPr>
        <w:pStyle w:val="TextBody"/>
        <w:bidi w:val="0"/>
        <w:spacing w:before="0" w:after="0"/>
        <w:ind w:left="0" w:right="0" w:hanging="0"/>
        <w:jc w:val="both"/>
        <w:rPr>
          <w:caps w:val="false"/>
          <w:smallCaps w:val="false"/>
        </w:rPr>
      </w:pPr>
      <w:r>
        <w:rPr>
          <w:caps w:val="false"/>
          <w:smallCaps w:val="false"/>
        </w:rPr>
        <w:t> </w:t>
      </w:r>
    </w:p>
    <w:tbl>
      <w:tblPr>
        <w:tblW w:w="2690" w:type="dxa"/>
        <w:jc w:val="left"/>
        <w:tblInd w:w="0" w:type="dxa"/>
        <w:tblLayout w:type="fixed"/>
        <w:tblCellMar>
          <w:top w:w="0" w:type="dxa"/>
          <w:left w:w="0" w:type="dxa"/>
          <w:bottom w:w="0" w:type="dxa"/>
          <w:right w:w="0" w:type="dxa"/>
        </w:tblCellMar>
      </w:tblPr>
      <w:tblGrid>
        <w:gridCol w:w="2615"/>
        <w:gridCol w:w="75"/>
      </w:tblGrid>
      <w:tr>
        <w:trPr/>
        <w:tc>
          <w:tcPr>
            <w:tcW w:w="26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20"/>
              </w:rPr>
            </w:pPr>
            <w:r>
              <w:rPr>
                <w:sz w:val="20"/>
              </w:rPr>
              <w:t>/s/ WALKERS (CAYMAN) LLP</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WALKERS (CAYMAN)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DOCUMENTS EXAMINED</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The Certificate of Incorporation of the Company dated 13 August 2020, the Certificate of Incorporation on Change of Name dated 7 April 2022, the Second Amended and Restated Memorandum and Articles of Association of the Company adopted on 31 March 2022 and effective 5 April 2022 (the “</w:t>
            </w:r>
            <w:r>
              <w:rPr>
                <w:b/>
              </w:rPr>
              <w:t>Memorandum and Articles of Association</w:t>
            </w:r>
            <w:r>
              <w:rPr/>
              <w:t>”) and each of the Register of Directors, Register of Officers and Register of Mortgages and Charges of the Company (together, the “</w:t>
            </w:r>
            <w:r>
              <w:rPr>
                <w:b/>
              </w:rPr>
              <w:t>Company Records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2.</w:t>
            </w:r>
          </w:p>
        </w:tc>
        <w:tc>
          <w:tcPr>
            <w:tcW w:w="9987" w:type="dxa"/>
            <w:tcBorders/>
            <w:vAlign w:val="center"/>
          </w:tcPr>
          <w:p>
            <w:pPr>
              <w:pStyle w:val="TableContents"/>
              <w:bidi w:val="0"/>
              <w:spacing w:before="0" w:after="283"/>
              <w:jc w:val="both"/>
              <w:rPr/>
            </w:pPr>
            <w:r>
              <w:rPr/>
              <w:t>The Cayman Online Registry Information System (CORIS), the Cayman Islands’ General Registry’s online database, searched on 7 August 2026.</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3.</w:t>
            </w:r>
          </w:p>
        </w:tc>
        <w:tc>
          <w:tcPr>
            <w:tcW w:w="9986" w:type="dxa"/>
            <w:tcBorders/>
            <w:vAlign w:val="center"/>
          </w:tcPr>
          <w:p>
            <w:pPr>
              <w:pStyle w:val="TableContents"/>
              <w:bidi w:val="0"/>
              <w:spacing w:before="0" w:after="283"/>
              <w:jc w:val="both"/>
              <w:rPr/>
            </w:pPr>
            <w:r>
              <w:rPr/>
              <w:t>A Certificate of Good Standing dated 7 August 2026 in respect of the Company issued by the Registrar (the “</w:t>
            </w:r>
            <w:r>
              <w:rPr>
                <w:b/>
              </w:rPr>
              <w:t>Certificate of Good Standing</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4.</w:t>
            </w:r>
          </w:p>
        </w:tc>
        <w:tc>
          <w:tcPr>
            <w:tcW w:w="9985" w:type="dxa"/>
            <w:tcBorders/>
            <w:vAlign w:val="center"/>
          </w:tcPr>
          <w:p>
            <w:pPr>
              <w:pStyle w:val="TableContents"/>
              <w:bidi w:val="0"/>
              <w:spacing w:before="0" w:after="283"/>
              <w:jc w:val="both"/>
              <w:rPr/>
            </w:pPr>
            <w:r>
              <w:rPr/>
              <w:t>A copy of the executed written resolutions of the Directors of the Company dated 30 August 2023 and 7 August 2026 (the “</w:t>
            </w:r>
            <w:r>
              <w:rPr>
                <w:b/>
              </w:rPr>
              <w:t>Resolutions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68"/>
        <w:gridCol w:w="9768"/>
      </w:tblGrid>
      <w:tr>
        <w:trPr/>
        <w:tc>
          <w:tcPr>
            <w:tcW w:w="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pPr>
            <w:r>
              <w:rPr/>
              <w:t>5.</w:t>
            </w:r>
          </w:p>
        </w:tc>
        <w:tc>
          <w:tcPr>
            <w:tcW w:w="9768" w:type="dxa"/>
            <w:tcBorders/>
            <w:vAlign w:val="center"/>
          </w:tcPr>
          <w:p>
            <w:pPr>
              <w:pStyle w:val="TableContents"/>
              <w:bidi w:val="0"/>
              <w:spacing w:before="0" w:after="283"/>
              <w:jc w:val="both"/>
              <w:rPr/>
            </w:pPr>
            <w:r>
              <w:rPr/>
              <w:t>Copies of the following documents (the “</w:t>
            </w:r>
            <w:r>
              <w:rPr>
                <w:b/>
              </w:rPr>
              <w:t>Documents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283"/>
              <w:jc w:val="both"/>
              <w:rPr/>
            </w:pPr>
            <w:r>
              <w:rPr/>
              <w:t>the Registration Statement on Form S-3 relating to the offering, issuance and sale of an indeterminate amount of Securities (the “</w:t>
            </w:r>
            <w:r>
              <w:rPr>
                <w:b/>
              </w:rPr>
              <w:t>Registration Statement</w:t>
            </w:r>
            <w:r>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8"/>
        <w:gridCol w:w="1893"/>
        <w:gridCol w:w="8064"/>
      </w:tblGrid>
      <w:tr>
        <w:trPr/>
        <w:tc>
          <w:tcPr>
            <w:tcW w:w="248"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pPr>
            <w:r>
              <w:rPr/>
              <w:t>(b)</w:t>
            </w:r>
          </w:p>
        </w:tc>
        <w:tc>
          <w:tcPr>
            <w:tcW w:w="8064" w:type="dxa"/>
            <w:tcBorders/>
            <w:vAlign w:val="center"/>
          </w:tcPr>
          <w:p>
            <w:pPr>
              <w:pStyle w:val="TableContents"/>
              <w:bidi w:val="0"/>
              <w:spacing w:before="0" w:after="283"/>
              <w:jc w:val="both"/>
              <w:rPr/>
            </w:pPr>
            <w:r>
              <w:rPr/>
              <w:t>forms of the:</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60"/>
        <w:gridCol w:w="9903"/>
      </w:tblGrid>
      <w:tr>
        <w:trPr/>
        <w:tc>
          <w:tcPr>
            <w:tcW w:w="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9903" w:type="dxa"/>
            <w:tcBorders/>
            <w:vAlign w:val="center"/>
          </w:tcPr>
          <w:p>
            <w:pPr>
              <w:pStyle w:val="TableContents"/>
              <w:bidi w:val="0"/>
              <w:spacing w:before="0" w:after="283"/>
              <w:jc w:val="both"/>
              <w:rPr/>
            </w:pPr>
            <w:r>
              <w:rPr/>
              <w:t>senior debt securities indenture (as set forth in Exhibit 4.1 to the Registration Statement);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7"/>
        <w:gridCol w:w="9847"/>
      </w:tblGrid>
      <w:tr>
        <w:trPr/>
        <w:tc>
          <w:tcPr>
            <w:tcW w:w="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(ii)</w:t>
            </w:r>
          </w:p>
        </w:tc>
        <w:tc>
          <w:tcPr>
            <w:tcW w:w="9847" w:type="dxa"/>
            <w:tcBorders/>
            <w:vAlign w:val="center"/>
          </w:tcPr>
          <w:p>
            <w:pPr>
              <w:pStyle w:val="TableContents"/>
              <w:bidi w:val="0"/>
              <w:spacing w:before="0" w:after="283"/>
              <w:jc w:val="both"/>
              <w:rPr/>
            </w:pPr>
            <w:r>
              <w:rPr/>
              <w:t>subordinated debt securities indenture (as set forth in Exhibit 4.2 to the Registration Statement),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in respect of the Debt Securities (together, the “</w:t>
      </w:r>
      <w:r>
        <w:rPr>
          <w:rFonts w:ascii="Times New Roman;Times;Serif" w:hAnsi="Times New Roman;Times;Serif"/>
          <w:b/>
          <w:i w:val="false"/>
          <w:caps w:val="false"/>
          <w:smallCaps w:val="false"/>
          <w:sz w:val="20"/>
        </w:rPr>
        <w:t>Indenture Documents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Indenture Document</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916"/>
        <w:gridCol w:w="9163"/>
      </w:tblGrid>
      <w:tr>
        <w:trPr/>
        <w:tc>
          <w:tcPr>
            <w:tcW w:w="1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pPr>
            <w:r>
              <w:rPr/>
              <w:t>(c)</w:t>
            </w:r>
          </w:p>
        </w:tc>
        <w:tc>
          <w:tcPr>
            <w:tcW w:w="9163" w:type="dxa"/>
            <w:tcBorders/>
            <w:vAlign w:val="center"/>
          </w:tcPr>
          <w:p>
            <w:pPr>
              <w:pStyle w:val="TableContents"/>
              <w:bidi w:val="0"/>
              <w:spacing w:before="0" w:after="283"/>
              <w:jc w:val="both"/>
              <w:rPr/>
            </w:pPr>
            <w:r>
              <w:rPr/>
              <w:t>the Warrant Documents;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271"/>
        <w:gridCol w:w="8768"/>
      </w:tblGrid>
      <w:tr>
        <w:trPr/>
        <w:tc>
          <w:tcPr>
            <w:tcW w:w="1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pPr>
            <w:r>
              <w:rPr/>
              <w:t>(d)</w:t>
            </w:r>
          </w:p>
        </w:tc>
        <w:tc>
          <w:tcPr>
            <w:tcW w:w="8768" w:type="dxa"/>
            <w:tcBorders/>
            <w:vAlign w:val="center"/>
          </w:tcPr>
          <w:p>
            <w:pPr>
              <w:pStyle w:val="TableContents"/>
              <w:bidi w:val="0"/>
              <w:spacing w:before="0" w:after="283"/>
              <w:jc w:val="both"/>
              <w:rPr/>
            </w:pPr>
            <w:r>
              <w:rPr/>
              <w:t>the Unit Documents.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ind w:left="1440" w:right="0" w:hanging="0"/>
        <w:jc w:val="right"/>
        <w:rPr>
          <w:b/>
        </w:rPr>
      </w:pPr>
      <w:bookmarkStart w:id="38" w:name="ea030102401ex5-2.htm"/>
      <w:bookmarkStart w:id="39" w:name="ksea030102401ex52"/>
      <w:bookmarkEnd w:id="38"/>
      <w:bookmarkEnd w:id="39"/>
      <w:r>
        <w:rPr>
          <w:b/>
        </w:rPr>
        <w:t>Exhibit 5.2</w:t>
      </w:r>
      <w:r>
        <w:br w:type="page"/>
      </w:r>
    </w:p>
    <w:p>
      <w:pPr>
        <w:pStyle w:val="TextBody"/>
        <w:bidi w:val="0"/>
        <w:spacing w:before="0" w:after="0"/>
        <w:ind w:left="0" w:right="0" w:hanging="0"/>
        <w:jc w:val="both"/>
        <w:rPr>
          <w:caps w:val="false"/>
          <w:smallCaps w:val="false"/>
        </w:rPr>
      </w:pPr>
      <w:r>
        <w:rPr>
          <w:caps w:val="false"/>
          <w:smallCaps w:val="false"/>
        </w:rPr>
        <w:drawing>
          <wp:inline distT="0" distB="0" distL="0" distR="0">
            <wp:extent cx="1362075" cy="266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5"/>
                    <a:stretch>
                      <a:fillRect/>
                    </a:stretch>
                  </pic:blipFill>
                  <pic:spPr bwMode="auto">
                    <a:xfrm>
                      <a:off x="0" y="0"/>
                      <a:ext cx="1362075" cy="2667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MoonLake Immunotherapeutics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Walkers Corporate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 Elgin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Town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KY1-9008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Addressees: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MOONLAKE IMMUNOTHERAPEUTICS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asked to provide this legal opinion to you with regards to the laws of the Cayman Islands in connection with the Registration Statement (as defined in Schedule 1) to be filed by MoonLake Immunotherapeutics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the United States Securities and Exchange Commission pursuant to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the Prospectus Supplement (as defined in Schedule 1) thereto relating to the offering, issue, and sale (the “</w:t>
      </w:r>
      <w:r>
        <w:rPr>
          <w:rFonts w:ascii="Times New Roman;Times;Serif" w:hAnsi="Times New Roman;Times;Serif"/>
          <w:b/>
          <w:i w:val="false"/>
          <w:caps w:val="false"/>
          <w:smallCaps w:val="false"/>
          <w:sz w:val="20"/>
        </w:rPr>
        <w:t>ATM Offering</w:t>
      </w:r>
      <w:r>
        <w:rPr>
          <w:rFonts w:ascii="Times New Roman;Times;Serif" w:hAnsi="Times New Roman;Times;Serif"/>
          <w:b w:val="false"/>
          <w:i w:val="false"/>
          <w:caps w:val="false"/>
          <w:smallCaps w:val="false"/>
          <w:sz w:val="20"/>
        </w:rPr>
        <w:t>”) by the Company of up to an aggregate offering price of US$300,000,000 of its Class A ordinary shares of a par value of US$0.0001 each (the “</w:t>
      </w:r>
      <w:r>
        <w:rPr>
          <w:rFonts w:ascii="Times New Roman;Times;Serif" w:hAnsi="Times New Roman;Times;Serif"/>
          <w:b/>
          <w:i w:val="false"/>
          <w:caps w:val="false"/>
          <w:smallCaps w:val="false"/>
          <w:sz w:val="20"/>
        </w:rPr>
        <w:t>Sales Agreement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and relied upon the originals or copies of the documents listed in Schedule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 Except as explicitly stated herein, we express no opinion in relation to any representation or warranty contained in the Documents (as defined in Schedule 1) nor upon matters of fact or the commercial terms of the transactions contemplated by the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examinations and the assumptions and qualifications set out below and having regard to legal considerations which we consider relevant, and under the laws of the Cayman Islands, we give the following opinion in relation to the matters set out below.</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1.</w:t>
            </w:r>
          </w:p>
        </w:tc>
        <w:tc>
          <w:tcPr>
            <w:tcW w:w="10003" w:type="dxa"/>
            <w:tcBorders/>
            <w:vAlign w:val="center"/>
          </w:tcPr>
          <w:p>
            <w:pPr>
              <w:pStyle w:val="TableContents"/>
              <w:bidi w:val="0"/>
              <w:spacing w:before="0" w:after="283"/>
              <w:jc w:val="both"/>
              <w:rPr/>
            </w:pPr>
            <w:r>
              <w:rPr/>
              <w:t>The Company is an exempted company duly incorporated with limited liability, validly existing under the laws of the Cayman Islands and in good standing with the Registrar of Companies in the Cayman Islands (the “</w:t>
            </w:r>
            <w:r>
              <w:rPr>
                <w:b/>
              </w:rPr>
              <w:t>Registrar</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2.</w:t>
            </w:r>
          </w:p>
        </w:tc>
        <w:tc>
          <w:tcPr>
            <w:tcW w:w="10022" w:type="dxa"/>
            <w:tcBorders/>
            <w:vAlign w:val="center"/>
          </w:tcPr>
          <w:p>
            <w:pPr>
              <w:pStyle w:val="TableContents"/>
              <w:bidi w:val="0"/>
              <w:spacing w:before="0" w:after="283"/>
              <w:jc w:val="both"/>
              <w:rPr/>
            </w:pPr>
            <w:r>
              <w:rPr/>
              <w:t>The Sales Agreement Shares have been duly authorised by all necessary corporate action of the Company. Upon the issue of the Sales Agreement Shares (by the entry of the name of the registered owner thereof in the Register of Members of the Company confirming that such Sales Agreement Shares have been issued credited as fully paid), delivery and payment therefore by the purchaser (for consideration not being less than their par value) in accordance with the Memorandum and Articles of Association (as defined in Schedule 1) and the Sales Agreement (as defined in Schedule 1) and in the manner contemplated by the Prospectus Supplement, the Sales Agreement Shares will be validly issued, fully paid and non-assessable (meaning that no additional sums may be levied on the holder thereof in respect of the shares by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given based on the following assumptions.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both"/>
              <w:rPr/>
            </w:pPr>
            <w:r>
              <w:rPr/>
              <w:t>The originals of all documents examined in connection with this opinion are authentic. The signatures, initials and seals on the Documents are genuine and are those of a person or persons given power to execute the Documents under the Resolutions (as defined in Schedule 1). All documents purporting to be sealed have been so sealed. All copies are complete and conform to their originals. The Documents conform in every material respect to the latest drafts of the same produced to us and, where provided in successive drafts, have been marked up to indicate all changes to such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Walkers</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 Elgin Avenue, George Town</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KY1-9001, Cayman Islands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+1 345 949 0100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+1 345 949 7886 www.walkersglobal.com</w:t>
            </w:r>
          </w:p>
        </w:tc>
      </w:tr>
    </w:tbl>
    <w:p>
      <w:pPr>
        <w:pStyle w:val="TextBody"/>
        <w:bidi w:val="0"/>
        <w:spacing w:before="240" w:after="120"/>
        <w:ind w:left="720" w:right="0" w:hanging="72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both"/>
              <w:rPr/>
            </w:pPr>
            <w:r>
              <w:rPr/>
              <w:t>We have relied upon the statements and representations of directors, officers and other representatives of the Company as to factual matters.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3.</w:t>
            </w:r>
          </w:p>
        </w:tc>
        <w:tc>
          <w:tcPr>
            <w:tcW w:w="9997" w:type="dxa"/>
            <w:tcBorders/>
            <w:vAlign w:val="center"/>
          </w:tcPr>
          <w:p>
            <w:pPr>
              <w:pStyle w:val="TableContents"/>
              <w:bidi w:val="0"/>
              <w:spacing w:before="0" w:after="283"/>
              <w:jc w:val="both"/>
              <w:rPr/>
            </w:pPr>
            <w:r>
              <w:rPr/>
              <w:t>The Memorandum and Articles of Association reviewed by us will be the memorandum and articles of association of the Company in effect upon the issuance of the Sales Agreement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4.</w:t>
            </w:r>
          </w:p>
        </w:tc>
        <w:tc>
          <w:tcPr>
            <w:tcW w:w="10014" w:type="dxa"/>
            <w:tcBorders/>
            <w:vAlign w:val="center"/>
          </w:tcPr>
          <w:p>
            <w:pPr>
              <w:pStyle w:val="TableContents"/>
              <w:bidi w:val="0"/>
              <w:spacing w:before="0" w:after="283"/>
              <w:jc w:val="both"/>
              <w:rPr/>
            </w:pPr>
            <w:r>
              <w:rPr/>
              <w:t>The Prospectus Supplement and the documents or agreements referred to therein will be duly authorised, executed and delivered by or on behalf of all relevant parties prior to the issue and sale of the Sales Agreement Shares and will be legal, valid, binding and enforceable against all relevant parties in accordance with their terms under all relevant laws (other than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5.</w:t>
            </w:r>
          </w:p>
        </w:tc>
        <w:tc>
          <w:tcPr>
            <w:tcW w:w="10009" w:type="dxa"/>
            <w:tcBorders/>
            <w:vAlign w:val="center"/>
          </w:tcPr>
          <w:p>
            <w:pPr>
              <w:pStyle w:val="TableContents"/>
              <w:bidi w:val="0"/>
              <w:spacing w:before="0" w:after="283"/>
              <w:jc w:val="both"/>
              <w:rPr/>
            </w:pPr>
            <w:r>
              <w:rPr/>
              <w:t>The Company will offer, issue and sell the Sales Agreement Shares in the manner contemplated by the Sales Agreement and the Prospectus Supplement and the documents or agreements referred to therein and otherwise in compliance with all applicable United States federal and state securities laws.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6.</w:t>
            </w:r>
          </w:p>
        </w:tc>
        <w:tc>
          <w:tcPr>
            <w:tcW w:w="10002" w:type="dxa"/>
            <w:tcBorders/>
            <w:vAlign w:val="center"/>
          </w:tcPr>
          <w:p>
            <w:pPr>
              <w:pStyle w:val="TableContents"/>
              <w:bidi w:val="0"/>
              <w:spacing w:before="0" w:after="283"/>
              <w:jc w:val="both"/>
              <w:rPr/>
            </w:pPr>
            <w:r>
              <w:rPr/>
              <w:t>The Company Records (as defined in Schedule 1) are complete and accurate and all matters required by law and the Memorandum and Articles of Association to be recorded therein are completely and accurately so recorded.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7.</w:t>
            </w:r>
          </w:p>
        </w:tc>
        <w:tc>
          <w:tcPr>
            <w:tcW w:w="9993" w:type="dxa"/>
            <w:tcBorders/>
            <w:vAlign w:val="center"/>
          </w:tcPr>
          <w:p>
            <w:pPr>
              <w:pStyle w:val="TableContents"/>
              <w:bidi w:val="0"/>
              <w:spacing w:before="0" w:after="283"/>
              <w:jc w:val="both"/>
              <w:rPr/>
            </w:pPr>
            <w:r>
              <w:rPr/>
              <w:t>The accuracy and completeness of all factual representations made in the Prospectus Supplement and the Registration Statement and all other documents reviewed by us.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8.</w:t>
            </w:r>
          </w:p>
        </w:tc>
        <w:tc>
          <w:tcPr>
            <w:tcW w:w="10003" w:type="dxa"/>
            <w:tcBorders/>
            <w:vAlign w:val="center"/>
          </w:tcPr>
          <w:p>
            <w:pPr>
              <w:pStyle w:val="TableContents"/>
              <w:bidi w:val="0"/>
              <w:spacing w:before="0" w:after="283"/>
              <w:jc w:val="both"/>
              <w:rPr/>
            </w:pPr>
            <w:r>
              <w:rPr/>
              <w:t>The Company will receive consideration in money or money’s worth for each of the Sales Agreement Shares when issued, such price in any event not being less than the stated par or nominal value of each Sales Agreement Share.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9.</w:t>
            </w:r>
          </w:p>
        </w:tc>
        <w:tc>
          <w:tcPr>
            <w:tcW w:w="9977" w:type="dxa"/>
            <w:tcBorders/>
            <w:vAlign w:val="center"/>
          </w:tcPr>
          <w:p>
            <w:pPr>
              <w:pStyle w:val="TableContents"/>
              <w:bidi w:val="0"/>
              <w:spacing w:before="0" w:after="283"/>
              <w:jc w:val="both"/>
              <w:rPr/>
            </w:pPr>
            <w:r>
              <w:rPr/>
              <w:t>The Resolutions have been duly executed by or on behalf of each director of the Board of Directors of the Company (the “</w:t>
            </w:r>
            <w:r>
              <w:rPr>
                <w:b/>
              </w:rPr>
              <w:t>Board</w:t>
            </w:r>
            <w:r>
              <w:rPr/>
              <w:t>”) and the signatures and initials thereon are those of a person or persons in whose name the Resolutions have been expressed to be signed, are and shall remain in full force and effect and have not been and will not be modified, amended, or rescinded since the respective dates thereof.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10.</w:t>
            </w:r>
          </w:p>
        </w:tc>
        <w:tc>
          <w:tcPr>
            <w:tcW w:w="9902" w:type="dxa"/>
            <w:tcBorders/>
            <w:vAlign w:val="center"/>
          </w:tcPr>
          <w:p>
            <w:pPr>
              <w:pStyle w:val="TableContents"/>
              <w:bidi w:val="0"/>
              <w:spacing w:before="0" w:after="283"/>
              <w:jc w:val="both"/>
              <w:rPr/>
            </w:pPr>
            <w:r>
              <w:rPr/>
              <w:t>Prior to any offer, issue or sale of the Sales Agreement Shares, the Board (or a duly authorised committee thereof) will, to the extent required under the Resolutions, duly adopt by written consent resolutions setting forth, among other items, the maximum number of Sales Agreement Shares issuable in the ATM Offering and the minimum consideration for which Sales Agreement Shares may be issued pursuant to the ATM Offering (the “</w:t>
            </w:r>
            <w:r>
              <w:rPr>
                <w:b/>
              </w:rPr>
              <w:t>Pricing Resolutions”</w:t>
            </w:r>
            <w:r>
              <w:rPr/>
              <w:t>). The ATM Offering shall be made, and Sales Agreement Shares will only be issued, in accordance with the limitations set forth in the Pricing Resolutions. There have been no consents, resolutions or other determinations of the Board (or any committee thereof) in respect of the ATM Offering, whether in writing or otherwise, adopted on or prior to the date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11.</w:t>
            </w:r>
          </w:p>
        </w:tc>
        <w:tc>
          <w:tcPr>
            <w:tcW w:w="9889" w:type="dxa"/>
            <w:tcBorders/>
            <w:vAlign w:val="center"/>
          </w:tcPr>
          <w:p>
            <w:pPr>
              <w:pStyle w:val="TableContents"/>
              <w:bidi w:val="0"/>
              <w:spacing w:before="0" w:after="283"/>
              <w:jc w:val="both"/>
              <w:rPr/>
            </w:pPr>
            <w:r>
              <w:rPr/>
              <w:t>The Documents have been, or will be, duly authorised, executed and delivered by or on behalf of all relevant parties and are, or will be, legal, valid, binding and enforceable against all relevant parties in accordance with their terms under all relevant laws (other than the laws of the Cayman Islands).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12.</w:t>
            </w:r>
          </w:p>
        </w:tc>
        <w:tc>
          <w:tcPr>
            <w:tcW w:w="9888" w:type="dxa"/>
            <w:tcBorders/>
            <w:vAlign w:val="center"/>
          </w:tcPr>
          <w:p>
            <w:pPr>
              <w:pStyle w:val="TableContents"/>
              <w:bidi w:val="0"/>
              <w:spacing w:before="0" w:after="283"/>
              <w:jc w:val="both"/>
              <w:rPr/>
            </w:pPr>
            <w:r>
              <w:rPr/>
              <w:t>The choice of the laws of the jurisdiction selected to govern each of the Documents has been made in good faith and will be regarded as a valid and binding selection which will be upheld in the courts of that jurisdiction and all relevant jurisdictions (other than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13.</w:t>
            </w:r>
          </w:p>
        </w:tc>
        <w:tc>
          <w:tcPr>
            <w:tcW w:w="9885" w:type="dxa"/>
            <w:tcBorders/>
            <w:vAlign w:val="center"/>
          </w:tcPr>
          <w:p>
            <w:pPr>
              <w:pStyle w:val="TableContents"/>
              <w:bidi w:val="0"/>
              <w:spacing w:before="0" w:after="283"/>
              <w:jc w:val="both"/>
              <w:rPr/>
            </w:pPr>
            <w:r>
              <w:rPr/>
              <w:t>All preconditions to the issue of the Sales Agreement Shares under the terms of the Sales Agreement will be satisfied or duly waived prior to the issue of the Sales Agreement Shares and there will be no breach of the terms of the Sales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75"/>
        <w:gridCol w:w="9786"/>
      </w:tblGrid>
      <w:tr>
        <w:trPr/>
        <w:tc>
          <w:tcPr>
            <w:tcW w:w="4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14.</w:t>
            </w:r>
          </w:p>
        </w:tc>
        <w:tc>
          <w:tcPr>
            <w:tcW w:w="9786" w:type="dxa"/>
            <w:tcBorders/>
            <w:vAlign w:val="center"/>
          </w:tcPr>
          <w:p>
            <w:pPr>
              <w:pStyle w:val="TableContents"/>
              <w:bidi w:val="0"/>
              <w:spacing w:before="0" w:after="283"/>
              <w:jc w:val="both"/>
              <w:rPr/>
            </w:pPr>
            <w:r>
              <w:rPr/>
              <w:t>The issue of the Sales Agreement Shares will be of commercial benefit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6"/>
        <w:gridCol w:w="9872"/>
      </w:tblGrid>
      <w:tr>
        <w:trPr/>
        <w:tc>
          <w:tcPr>
            <w:tcW w:w="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15.</w:t>
            </w:r>
          </w:p>
        </w:tc>
        <w:tc>
          <w:tcPr>
            <w:tcW w:w="9872" w:type="dxa"/>
            <w:tcBorders/>
            <w:vAlign w:val="center"/>
          </w:tcPr>
          <w:p>
            <w:pPr>
              <w:pStyle w:val="TableContents"/>
              <w:bidi w:val="0"/>
              <w:spacing w:before="0" w:after="283"/>
              <w:jc w:val="both"/>
              <w:rPr/>
            </w:pPr>
            <w:r>
              <w:rPr/>
              <w:t>No invitation has been made or will be made by or on behalf of the Company to the public in the Cayman Islands to subscribe for any of the Sales Agreement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16.</w:t>
            </w:r>
          </w:p>
        </w:tc>
        <w:tc>
          <w:tcPr>
            <w:tcW w:w="9895" w:type="dxa"/>
            <w:tcBorders/>
            <w:vAlign w:val="center"/>
          </w:tcPr>
          <w:p>
            <w:pPr>
              <w:pStyle w:val="TableContents"/>
              <w:bidi w:val="0"/>
              <w:spacing w:before="0" w:after="283"/>
              <w:jc w:val="both"/>
              <w:rPr/>
            </w:pPr>
            <w:r>
              <w:rPr/>
              <w:t>There are no provisions of the laws of any jurisdiction outside the Cayman Islands which would be contravened by the issuance and allotment of the Sales Agreement Shares and, insofar as any obligation expressed to be incurred under any of the Documents is to be performed in or is otherwise subject to the laws of any jurisdiction outside the Cayman Islands, its performance will not be illegal by virtue of the laws of that jurisdiction.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17.</w:t>
            </w:r>
          </w:p>
        </w:tc>
        <w:tc>
          <w:tcPr>
            <w:tcW w:w="9865" w:type="dxa"/>
            <w:tcBorders/>
            <w:vAlign w:val="center"/>
          </w:tcPr>
          <w:p>
            <w:pPr>
              <w:pStyle w:val="TableContents"/>
              <w:bidi w:val="0"/>
              <w:spacing w:before="0" w:after="283"/>
              <w:jc w:val="both"/>
              <w:rPr/>
            </w:pPr>
            <w:r>
              <w:rPr/>
              <w:t>There is nothing under any law (other than the laws of the Cayman Islands) which would or might affect any of the opinions set forth above.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2"/>
        <w:gridCol w:w="9866"/>
      </w:tblGrid>
      <w:tr>
        <w:trPr/>
        <w:tc>
          <w:tcPr>
            <w:tcW w:w="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18.</w:t>
            </w:r>
          </w:p>
        </w:tc>
        <w:tc>
          <w:tcPr>
            <w:tcW w:w="9866" w:type="dxa"/>
            <w:tcBorders/>
            <w:vAlign w:val="center"/>
          </w:tcPr>
          <w:p>
            <w:pPr>
              <w:pStyle w:val="TableContents"/>
              <w:bidi w:val="0"/>
              <w:spacing w:before="0" w:after="283"/>
              <w:jc w:val="both"/>
              <w:rPr/>
            </w:pPr>
            <w:r>
              <w:rPr/>
              <w:t>There will be nothing in the Prospectus Supplement or the Pricing Resolutions which would or might affect any of the opinions set forth above.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19.</w:t>
            </w:r>
          </w:p>
        </w:tc>
        <w:tc>
          <w:tcPr>
            <w:tcW w:w="9896" w:type="dxa"/>
            <w:tcBorders/>
            <w:vAlign w:val="center"/>
          </w:tcPr>
          <w:p>
            <w:pPr>
              <w:pStyle w:val="TableContents"/>
              <w:bidi w:val="0"/>
              <w:spacing w:before="0" w:after="283"/>
              <w:jc w:val="both"/>
              <w:rPr/>
            </w:pPr>
            <w:r>
              <w:rPr/>
              <w:t>The Company was, or will be, on the date of execution of the Documents to which it is a party able to pay its debts as they became due from its own moneys, and any disposition or settlement of property effected by any of the Documents is made in good faith and for valuable consideration and at the time of each disposition of property by the Company pursuant to the Documents the Company will be able to pay its debts as they become due from its own moneys.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20.</w:t>
            </w:r>
          </w:p>
        </w:tc>
        <w:tc>
          <w:tcPr>
            <w:tcW w:w="9860" w:type="dxa"/>
            <w:tcBorders/>
            <w:vAlign w:val="center"/>
          </w:tcPr>
          <w:p>
            <w:pPr>
              <w:pStyle w:val="TableContents"/>
              <w:bidi w:val="0"/>
              <w:spacing w:before="0" w:after="283"/>
              <w:jc w:val="both"/>
              <w:rPr/>
            </w:pPr>
            <w:r>
              <w:rPr/>
              <w:t>On the date of issuance of any Sales Agreement Share, the Company will have sufficient authorised and unissued share capital.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21.</w:t>
            </w:r>
          </w:p>
        </w:tc>
        <w:tc>
          <w:tcPr>
            <w:tcW w:w="9899" w:type="dxa"/>
            <w:tcBorders/>
            <w:vAlign w:val="center"/>
          </w:tcPr>
          <w:p>
            <w:pPr>
              <w:pStyle w:val="TableContents"/>
              <w:bidi w:val="0"/>
              <w:spacing w:before="0" w:after="283"/>
              <w:jc w:val="both"/>
              <w:rPr/>
            </w:pPr>
            <w:r>
              <w:rPr/>
              <w:t>No amounts paid to or for the account of any party under the Documents or any property received or disposed of by any party to the Documents in each case in connection with the performance of the Documents or the consummation of the transactions contemplated thereby, represent or will represent proceeds of criminal conduct or criminal property as defined in the Proceeds of Crime Act (as amended) (the “</w:t>
            </w:r>
            <w:r>
              <w:rPr>
                <w:b/>
              </w:rPr>
              <w:t>POCA</w:t>
            </w:r>
            <w:r>
              <w:rPr/>
              <w:t>”) or terrorist property as defined in the POCA or the Terrorism Act (as amended) (the “</w:t>
            </w:r>
            <w:r>
              <w:rPr>
                <w:b/>
              </w:rPr>
              <w:t>Terrorism Act</w:t>
            </w:r>
            <w:r>
              <w:rPr/>
              <w:t>”), each of the Cayman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qualifications: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both"/>
              <w:rPr/>
            </w:pPr>
            <w:r>
              <w:rPr/>
              <w:t>The term “</w:t>
            </w:r>
            <w:r>
              <w:rPr>
                <w:b/>
              </w:rPr>
              <w:t>enforceable</w:t>
            </w:r>
            <w:r>
              <w:rPr/>
              <w:t>” and its cognates as used in this opinion means that the obligations assumed by any party under the Documents are of a type which the courts of the Cayman Islands (the “</w:t>
            </w:r>
            <w:r>
              <w:rPr>
                <w:b/>
              </w:rPr>
              <w:t>Courts</w:t>
            </w:r>
            <w:r>
              <w:rPr/>
              <w:t>” and each a “</w:t>
            </w:r>
            <w:r>
              <w:rPr>
                <w:b/>
              </w:rPr>
              <w:t>Court</w:t>
            </w:r>
            <w:r>
              <w:rPr/>
              <w:t>”) enforce. This does not mean that those obligations will necessarily be enforced in all circumstances in accordance with their terms. In particular: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enforcement of obligations and the priority of obligations may be limited by bankruptcy, insolvency, liquidation, restructuring, reorganisation, readjustment of debts or moratorium and other laws of general application relating to or affecting the rights of creditors or by prescription or lapse of time;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pPr>
            <w:r>
              <w:rPr/>
              <w:t>enforcement may be limited by general principles of equity and, in particular, the availability of certain equitable remedies such as injunction or specific performance of an obligation may be limited where a Court considers damages to be an adequate remedy;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(c)</w:t>
            </w:r>
          </w:p>
        </w:tc>
        <w:tc>
          <w:tcPr>
            <w:tcW w:w="9918" w:type="dxa"/>
            <w:tcBorders/>
            <w:vAlign w:val="center"/>
          </w:tcPr>
          <w:p>
            <w:pPr>
              <w:pStyle w:val="TableContents"/>
              <w:bidi w:val="0"/>
              <w:spacing w:before="0" w:after="283"/>
              <w:jc w:val="both"/>
              <w:rPr/>
            </w:pPr>
            <w:r>
              <w:rPr/>
              <w:t>claims may become barred under statutes of limitation or may be or become subject to defences of set-off, counterclaim, estoppel and similar defences;</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(d)</w:t>
            </w:r>
          </w:p>
        </w:tc>
        <w:tc>
          <w:tcPr>
            <w:tcW w:w="9925" w:type="dxa"/>
            <w:tcBorders/>
            <w:vAlign w:val="center"/>
          </w:tcPr>
          <w:p>
            <w:pPr>
              <w:pStyle w:val="TableContents"/>
              <w:bidi w:val="0"/>
              <w:spacing w:before="0" w:after="283"/>
              <w:jc w:val="both"/>
              <w:rPr/>
            </w:pPr>
            <w:r>
              <w:rPr/>
              <w:t>where obligations are to be performed in a jurisdiction outside the Cayman Islands, they may not be enforceable in the Cayman Islands to the extent that performance would be illegal under the laws of, or contrary to the public policy of, that jurisdiction;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66"/>
        <w:gridCol w:w="9789"/>
      </w:tblGrid>
      <w:tr>
        <w:trPr/>
        <w:tc>
          <w:tcPr>
            <w:tcW w:w="5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(e)</w:t>
            </w:r>
          </w:p>
        </w:tc>
        <w:tc>
          <w:tcPr>
            <w:tcW w:w="9789" w:type="dxa"/>
            <w:tcBorders/>
            <w:vAlign w:val="center"/>
          </w:tcPr>
          <w:p>
            <w:pPr>
              <w:pStyle w:val="TableContents"/>
              <w:bidi w:val="0"/>
              <w:spacing w:before="0" w:after="283"/>
              <w:jc w:val="both"/>
              <w:rPr/>
            </w:pPr>
            <w:r>
              <w:rPr/>
              <w:t>a judgment of a Court may be required to be made in Cayman Islands dollars;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(f)</w:t>
            </w:r>
          </w:p>
        </w:tc>
        <w:tc>
          <w:tcPr>
            <w:tcW w:w="9982" w:type="dxa"/>
            <w:tcBorders/>
            <w:vAlign w:val="center"/>
          </w:tcPr>
          <w:p>
            <w:pPr>
              <w:pStyle w:val="TableContents"/>
              <w:bidi w:val="0"/>
              <w:spacing w:before="0" w:after="283"/>
              <w:jc w:val="both"/>
              <w:rPr/>
            </w:pPr>
            <w:r>
              <w:rPr/>
              <w:t>to the extent that any provision of the Documents is adjudicated to be penal in nature, it will not be enforceable in the Courts; in particular, the enforceability of any provision of the Documents that is adjudicated to constitute a secondary obligation which imposes a detriment on the contract-breaker out of all proportion to any legitimate interest of the innocent party in the enforcement of the primary obligation may be limited;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(g)</w:t>
            </w:r>
          </w:p>
        </w:tc>
        <w:tc>
          <w:tcPr>
            <w:tcW w:w="9909" w:type="dxa"/>
            <w:tcBorders/>
            <w:vAlign w:val="center"/>
          </w:tcPr>
          <w:p>
            <w:pPr>
              <w:pStyle w:val="TableContents"/>
              <w:bidi w:val="0"/>
              <w:spacing w:before="0" w:after="283"/>
              <w:jc w:val="both"/>
              <w:rPr/>
            </w:pPr>
            <w:r>
              <w:rPr/>
              <w:t>to the extent that the performance of any obligation arising under the Documents would be fraudulent or contrary to public policy, it will not be enforceable in the Courts;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(h)</w:t>
            </w:r>
          </w:p>
        </w:tc>
        <w:tc>
          <w:tcPr>
            <w:tcW w:w="9937" w:type="dxa"/>
            <w:tcBorders/>
            <w:vAlign w:val="center"/>
          </w:tcPr>
          <w:p>
            <w:pPr>
              <w:pStyle w:val="TableContents"/>
              <w:bidi w:val="0"/>
              <w:spacing w:before="0" w:after="283"/>
              <w:jc w:val="both"/>
              <w:rPr/>
            </w:pPr>
            <w:r>
              <w:rPr/>
              <w:t>in the case of an insolvent liquidation of the Company, its liabilities are required to be translated into the functional currency of the Company (being the currency of the primary economic environment in which it operated as at the commencement of the liquidation) at the exchange rates prevailing on the date of commencement of the voluntary liquidation or the day on which the winding up order is made (as the case may be);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w:t>
            </w:r>
          </w:p>
        </w:tc>
        <w:tc>
          <w:tcPr>
            <w:tcW w:w="9944" w:type="dxa"/>
            <w:tcBorders/>
            <w:vAlign w:val="center"/>
          </w:tcPr>
          <w:p>
            <w:pPr>
              <w:pStyle w:val="TableContents"/>
              <w:bidi w:val="0"/>
              <w:spacing w:before="0" w:after="283"/>
              <w:jc w:val="both"/>
              <w:rPr/>
            </w:pPr>
            <w:r>
              <w:rPr/>
              <w:t>a Court will not necessarily award costs in litigation in accordance with contractual provisions in this regard;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(j)</w:t>
            </w:r>
          </w:p>
        </w:tc>
        <w:tc>
          <w:tcPr>
            <w:tcW w:w="9994" w:type="dxa"/>
            <w:tcBorders/>
            <w:vAlign w:val="center"/>
          </w:tcPr>
          <w:p>
            <w:pPr>
              <w:pStyle w:val="TableContents"/>
              <w:bidi w:val="0"/>
              <w:spacing w:before="0" w:after="283"/>
              <w:jc w:val="both"/>
              <w:rPr/>
            </w:pPr>
            <w:r>
              <w:rPr/>
              <w:t>the effectiveness of terms in the Documents excusing any party from a liability or duty otherwise owed or indemnifying that party from the consequences of incurring such liability or breaching such duty shall be construed in accordance with, and shall be limited by, applicable law, including generally applicable rules and principles of common law and equity.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5" w:type="dxa"/>
            <w:tcBorders/>
            <w:vAlign w:val="center"/>
          </w:tcPr>
          <w:p>
            <w:pPr>
              <w:pStyle w:val="TableContents"/>
              <w:bidi w:val="0"/>
              <w:spacing w:before="0" w:after="283"/>
              <w:jc w:val="both"/>
              <w:rPr/>
            </w:pPr>
            <w:r>
              <w:rPr/>
              <w:t>Our opinion as to good standing is based solely upon receipt of the Certificate of Good Standing (as defined in Schedule 1) issued by the Registrar. The Company shall be deemed to be in good standing under section 200A of the Companies Act on the date of issue of the certificate if all fees and penalties under the Companies Act have been paid and the Registrar has no knowledge that the Company is in default under the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other than persons entitled to rely upon it pursuant to the provisions of the Securities Act, without our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shall be construed in accordance with the laws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as an exhibit to the Registration Statement and/or Prospectus Supplement and further consent to all references to us in the Registration Statement and/or Prospectus Supplement and any amendments thereto.</w:t>
      </w:r>
    </w:p>
    <w:p>
      <w:pPr>
        <w:pStyle w:val="TextBody"/>
        <w:bidi w:val="0"/>
        <w:spacing w:before="0" w:after="0"/>
        <w:ind w:left="0" w:right="0" w:hanging="0"/>
        <w:jc w:val="both"/>
        <w:rPr>
          <w:caps w:val="false"/>
          <w:smallCaps w:val="false"/>
        </w:rPr>
      </w:pPr>
      <w:r>
        <w:rPr>
          <w:caps w:val="false"/>
          <w:smallCaps w:val="false"/>
        </w:rPr>
        <w:t> </w:t>
      </w:r>
    </w:p>
    <w:tbl>
      <w:tblPr>
        <w:tblW w:w="2690" w:type="dxa"/>
        <w:jc w:val="left"/>
        <w:tblInd w:w="0" w:type="dxa"/>
        <w:tblLayout w:type="fixed"/>
        <w:tblCellMar>
          <w:top w:w="0" w:type="dxa"/>
          <w:left w:w="0" w:type="dxa"/>
          <w:bottom w:w="0" w:type="dxa"/>
          <w:right w:w="0" w:type="dxa"/>
        </w:tblCellMar>
      </w:tblPr>
      <w:tblGrid>
        <w:gridCol w:w="2615"/>
        <w:gridCol w:w="75"/>
      </w:tblGrid>
      <w:tr>
        <w:trPr/>
        <w:tc>
          <w:tcPr>
            <w:tcW w:w="26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20"/>
              </w:rPr>
            </w:pPr>
            <w:r>
              <w:rPr>
                <w:sz w:val="20"/>
              </w:rPr>
              <w:t>/s/ WALKERS (CAYMAN) LLP</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WALKERS (CAYMAN)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DOCUMENTS EXAMINED</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The Certificate of Incorporation of the Company dated 13 August 2020, the Certificate of Incorporation on Change of Name dated 7 April 2022, the Second Amended and Restated Memorandum and Articles of Association of the Company adopted on 31 March 2022 and effective 5 April 2022 (the “</w:t>
            </w:r>
            <w:r>
              <w:rPr>
                <w:b/>
              </w:rPr>
              <w:t>Memorandum and Articles of Association</w:t>
            </w:r>
            <w:r>
              <w:rPr/>
              <w:t>”) and each of the Register of Directors, Register of Officers and Register of Mortgages and Charges of the Company (together, the “</w:t>
            </w:r>
            <w:r>
              <w:rPr>
                <w:b/>
              </w:rPr>
              <w:t>Company Records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2.</w:t>
            </w:r>
          </w:p>
        </w:tc>
        <w:tc>
          <w:tcPr>
            <w:tcW w:w="9987" w:type="dxa"/>
            <w:tcBorders/>
            <w:vAlign w:val="center"/>
          </w:tcPr>
          <w:p>
            <w:pPr>
              <w:pStyle w:val="TableContents"/>
              <w:bidi w:val="0"/>
              <w:spacing w:before="0" w:after="283"/>
              <w:jc w:val="both"/>
              <w:rPr/>
            </w:pPr>
            <w:r>
              <w:rPr/>
              <w:t>The Cayman Online Registry Information System (CORIS), the Cayman Islands’ General Registry’s online database, searched on 7 August 2026.</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3.</w:t>
            </w:r>
          </w:p>
        </w:tc>
        <w:tc>
          <w:tcPr>
            <w:tcW w:w="9986" w:type="dxa"/>
            <w:tcBorders/>
            <w:vAlign w:val="center"/>
          </w:tcPr>
          <w:p>
            <w:pPr>
              <w:pStyle w:val="TableContents"/>
              <w:bidi w:val="0"/>
              <w:spacing w:before="0" w:after="283"/>
              <w:jc w:val="both"/>
              <w:rPr/>
            </w:pPr>
            <w:r>
              <w:rPr/>
              <w:t>A Certificate of Good Standing dated 7 August 2026 in respect of the Company issued by the Registrar (the “</w:t>
            </w:r>
            <w:r>
              <w:rPr>
                <w:b/>
              </w:rPr>
              <w:t>Certificate of Good Standing</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4.</w:t>
            </w:r>
          </w:p>
        </w:tc>
        <w:tc>
          <w:tcPr>
            <w:tcW w:w="9985" w:type="dxa"/>
            <w:tcBorders/>
            <w:vAlign w:val="center"/>
          </w:tcPr>
          <w:p>
            <w:pPr>
              <w:pStyle w:val="TableContents"/>
              <w:bidi w:val="0"/>
              <w:spacing w:before="0" w:after="283"/>
              <w:jc w:val="both"/>
              <w:rPr/>
            </w:pPr>
            <w:r>
              <w:rPr/>
              <w:t>A copy of the executed written resolutions of the Directors of the Company dated 30 August 2023 and 7 August 2026 (the “</w:t>
            </w:r>
            <w:r>
              <w:rPr>
                <w:b/>
              </w:rPr>
              <w:t>Resolutions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68"/>
        <w:gridCol w:w="9768"/>
      </w:tblGrid>
      <w:tr>
        <w:trPr/>
        <w:tc>
          <w:tcPr>
            <w:tcW w:w="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pPr>
            <w:r>
              <w:rPr/>
              <w:t>5.</w:t>
            </w:r>
          </w:p>
        </w:tc>
        <w:tc>
          <w:tcPr>
            <w:tcW w:w="9768" w:type="dxa"/>
            <w:tcBorders/>
            <w:vAlign w:val="center"/>
          </w:tcPr>
          <w:p>
            <w:pPr>
              <w:pStyle w:val="TableContents"/>
              <w:bidi w:val="0"/>
              <w:spacing w:before="0" w:after="283"/>
              <w:jc w:val="both"/>
              <w:rPr/>
            </w:pPr>
            <w:r>
              <w:rPr/>
              <w:t>Copies of the following documents (the “</w:t>
            </w:r>
            <w:r>
              <w:rPr>
                <w:b/>
              </w:rPr>
              <w:t>Documents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t>the Registration Statement on Form S-3 filed on 10 August 2026 by the Company with the United States Securities and Exchange Commission (the “</w:t>
            </w:r>
            <w:r>
              <w:rPr>
                <w:b/>
              </w:rPr>
              <w:t>Registration Statement</w:t>
            </w:r>
            <w:r>
              <w:rPr/>
              <w:t>”) containing a base prospectus relating to the offering, issuance and sale of an indeterminate amount of certain securities in the Company and a prospectus supplement relating to the issuance and sale of the Sales Agreement Shares in the ATM Offering (the “</w:t>
            </w:r>
            <w:r>
              <w:rPr>
                <w:b/>
              </w:rPr>
              <w:t>Prospectus Supplement</w:t>
            </w:r>
            <w:r>
              <w:rPr/>
              <w:t>”); and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the Sales Agreement dated 31 August 2023, as amended by Amendment No. 1 to Sales Agreement dated 10 August 2026, between the Company and Leerink Partners LLC relating to the issuance and sale of the Sales Agreement Shares (as amended, the “</w:t>
            </w:r>
            <w:r>
              <w:rPr>
                <w:b/>
              </w:rPr>
              <w:t>Sales Agreement</w:t>
            </w:r>
            <w:r>
              <w:rPr/>
              <w:t>”).</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0" w:name="ea030102401ex23-1.htm"/>
      <w:bookmarkStart w:id="41" w:name="ksea030102401ex231"/>
      <w:bookmarkEnd w:id="40"/>
      <w:bookmarkEnd w:id="41"/>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MoonLake Immunotherapeutics (the “Company”) of our report dated February 25, 2026, relating to the consolidated financial statements of the Company and the effectiveness of internal control over financial reporting of the Company, appearing in the Annual Report on Form 10-K of the Company for the year ended December 31, 2025, filed with the Securities and Exchange Commission.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2" w:name="ea030102401ex-fee.htm"/>
      <w:bookmarkStart w:id="43" w:name="ksea030102401exfee"/>
      <w:bookmarkStart w:id="44" w:name="ea030102401ex-fee.htm"/>
      <w:bookmarkStart w:id="45" w:name="ksea030102401exfee"/>
      <w:bookmarkEnd w:id="44"/>
      <w:bookmarkEnd w:id="45"/>
      <w:r>
        <w:br w:type="page"/>
      </w:r>
    </w:p>
    <w:tbl>
      <w:tblPr>
        <w:tblW w:w="3635" w:type="dxa"/>
        <w:jc w:val="left"/>
        <w:tblInd w:w="0" w:type="dxa"/>
        <w:tblLayout w:type="fixed"/>
        <w:tblCellMar>
          <w:top w:w="28" w:type="dxa"/>
          <w:left w:w="28" w:type="dxa"/>
          <w:bottom w:w="28" w:type="dxa"/>
          <w:right w:w="28" w:type="dxa"/>
        </w:tblCellMar>
      </w:tblPr>
      <w:tblGrid>
        <w:gridCol w:w="3481"/>
        <w:gridCol w:w="154"/>
      </w:tblGrid>
      <w:tr>
        <w:trPr/>
        <w:tc>
          <w:tcPr>
            <w:tcW w:w="363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8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b/>
              </w:rPr>
            </w:pPr>
            <w:r>
              <w:rPr>
                <w:b/>
              </w:rPr>
              <w:t xml:space="preserve">MoonLake Immunotherapeutics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74" w:type="dxa"/>
        <w:jc w:val="left"/>
        <w:tblInd w:w="0" w:type="dxa"/>
        <w:tblLayout w:type="fixed"/>
        <w:tblCellMar>
          <w:top w:w="28" w:type="dxa"/>
          <w:left w:w="28" w:type="dxa"/>
          <w:bottom w:w="28" w:type="dxa"/>
          <w:right w:w="28" w:type="dxa"/>
        </w:tblCellMar>
      </w:tblPr>
      <w:tblGrid>
        <w:gridCol w:w="1126"/>
        <w:gridCol w:w="226"/>
        <w:gridCol w:w="946"/>
        <w:gridCol w:w="111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1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7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11" w:type="dxa"/>
            <w:tcBorders/>
            <w:shd w:fill="E7E7E2" w:val="clear"/>
            <w:vAlign w:val="center"/>
          </w:tcPr>
          <w:p>
            <w:pPr>
              <w:pStyle w:val="TableContents"/>
              <w:bidi w:val="0"/>
              <w:spacing w:before="0" w:after="283"/>
              <w:jc w:val="left"/>
              <w:rPr/>
            </w:pPr>
            <w:r>
              <w:rPr/>
              <w:t xml:space="preserve">Ordinary shares,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11" w:type="dxa"/>
            <w:tcBorders/>
            <w:shd w:fill="E7E7E2" w:val="clear"/>
            <w:vAlign w:val="center"/>
          </w:tcPr>
          <w:p>
            <w:pPr>
              <w:pStyle w:val="TableContents"/>
              <w:bidi w:val="0"/>
              <w:spacing w:before="0" w:after="283"/>
              <w:jc w:val="left"/>
              <w:rPr/>
            </w:pPr>
            <w:r>
              <w:rPr/>
              <w:t xml:space="preserve">Preference shares,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11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11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11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Equity </w:t>
            </w:r>
          </w:p>
        </w:tc>
        <w:tc>
          <w:tcPr>
            <w:tcW w:w="1111" w:type="dxa"/>
            <w:tcBorders/>
            <w:shd w:fill="E7E7E2" w:val="clear"/>
            <w:vAlign w:val="center"/>
          </w:tcPr>
          <w:p>
            <w:pPr>
              <w:pStyle w:val="TableContents"/>
              <w:bidi w:val="0"/>
              <w:spacing w:before="0" w:after="283"/>
              <w:jc w:val="left"/>
              <w:rPr/>
            </w:pPr>
            <w:r>
              <w:rPr/>
              <w:t xml:space="preserve">Ordinary shares, $0.0001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$ 41,430.00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1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7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1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6" w:name="MaxAggtOfferingPrice"/>
            <w:bookmarkEnd w:id="46"/>
            <w:r>
              <w:rPr/>
              <w:t xml:space="preserve">$ 300,000,000.00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7" w:name="TotalFeeAmt"/>
            <w:bookmarkEnd w:id="47"/>
            <w:r>
              <w:rPr/>
              <w:t xml:space="preserve">$ 41,430.00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8" w:name="TotalPreviouslyPaidAmt"/>
            <w:bookmarkEnd w:id="4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9" w:name="TotalOffsetAmt"/>
            <w:bookmarkEnd w:id="49"/>
            <w:r>
              <w:rPr/>
              <w:t xml:space="preserve">$ 41,430.00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0" w:name="NetFeeAmt"/>
            <w:bookmarkEnd w:id="5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322"/>
        <w:gridCol w:w="8684"/>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The amount to be registered consists of an indeterminate number of ordinary shares, preference shares, debt securities, warrants and/or units. There is also being registered hereunder such currently indeterminate number of (i) ordinary shares or other securities of the registrant as may be issued upon conversion of, or in exchange for, convertible or exchangeable preference shares and/or debt securities registered hereby, or (ii) ordinary shares, preference shares, debt securities or units as may be issued upon exercise of warrants registered hereby, as the case may be. Any securities registered hereunder may be sold separately or as units with the other securities registered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The proposed maximum per security and aggregate offering prices per class of securities will be determined from time to time by the registrant in connection with the issuance by the registrant of the securities registered hereunder and are not specified as to each class of security. Separate consideration may or may not be received for securities that are issuable on exercise, conversion, or exchange of other securities, or that are issued in units.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See Note 1.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6" w:type="dxa"/>
            <w:gridSpan w:val="2"/>
            <w:tcBorders/>
            <w:vAlign w:val="center"/>
          </w:tcPr>
          <w:p>
            <w:pPr>
              <w:pStyle w:val="TableContents"/>
              <w:bidi w:val="0"/>
              <w:spacing w:before="0" w:after="283"/>
              <w:jc w:val="left"/>
              <w:rPr/>
            </w:pPr>
            <w:r>
              <w:rPr/>
              <w:t xml:space="preserve">See Note 1.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6" w:type="dxa"/>
            <w:gridSpan w:val="2"/>
            <w:tcBorders/>
            <w:vAlign w:val="center"/>
          </w:tcPr>
          <w:p>
            <w:pPr>
              <w:pStyle w:val="TableContents"/>
              <w:bidi w:val="0"/>
              <w:spacing w:before="0" w:after="283"/>
              <w:jc w:val="left"/>
              <w:rPr/>
            </w:pPr>
            <w:r>
              <w:rPr/>
              <w:t xml:space="preserve">See Note 1.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6" w:type="dxa"/>
            <w:gridSpan w:val="2"/>
            <w:tcBorders/>
            <w:vAlign w:val="center"/>
          </w:tcPr>
          <w:p>
            <w:pPr>
              <w:pStyle w:val="TableContents"/>
              <w:bidi w:val="0"/>
              <w:spacing w:before="0" w:after="283"/>
              <w:jc w:val="left"/>
              <w:rPr/>
            </w:pPr>
            <w:r>
              <w:rPr/>
              <w:t xml:space="preserve">See Note 1.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6" w:type="dxa"/>
            <w:gridSpan w:val="2"/>
            <w:tcBorders/>
            <w:vAlign w:val="center"/>
          </w:tcPr>
          <w:p>
            <w:pPr>
              <w:pStyle w:val="TableContents"/>
              <w:bidi w:val="0"/>
              <w:spacing w:before="0" w:after="283"/>
              <w:jc w:val="left"/>
              <w:rPr/>
            </w:pPr>
            <w:r>
              <w:rPr/>
              <w:t xml:space="preserve">In accordance with Rules 456(b) and 457(r) under the Securities Act, the registrant is deferring payment of the filing fees relating to the securities that are registered and available for sale under this registration statement, other than the fees in connection with the $300,000,000 of the registrant's ordinary shares that may be issued and sold from time to time under the Sales Agreement, dated August 31, 2023, with Leerink Partners LLC, as sales agent, as amended by Amendment No. 1 to the Sales Agreement, dated August 10, 2026. </w:t>
            </w:r>
          </w:p>
        </w:tc>
      </w:tr>
      <w:tr>
        <w:trPr/>
        <w:tc>
          <w:tcPr>
            <w:tcW w:w="1521" w:type="dxa"/>
            <w:gridSpan w:val="2"/>
            <w:tcBorders/>
            <w:vAlign w:val="center"/>
          </w:tcPr>
          <w:p>
            <w:pPr>
              <w:pStyle w:val="HorizontalLine"/>
              <w:pBdr>
                <w:bottom w:val="double" w:sz="2" w:space="0" w:color="808080"/>
              </w:pBdr>
              <w:bidi w:val="0"/>
              <w:spacing w:before="0" w:after="283"/>
              <w:jc w:val="left"/>
              <w:rPr/>
            </w:pPr>
            <w:r>
              <w:rPr/>
            </w:r>
          </w:p>
        </w:tc>
        <w:tc>
          <w:tcPr>
            <w:tcW w:w="868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222" w:type="dxa"/>
        <w:jc w:val="left"/>
        <w:tblInd w:w="0" w:type="dxa"/>
        <w:tblLayout w:type="fixed"/>
        <w:tblCellMar>
          <w:top w:w="28" w:type="dxa"/>
          <w:left w:w="28" w:type="dxa"/>
          <w:bottom w:w="28" w:type="dxa"/>
          <w:right w:w="28" w:type="dxa"/>
        </w:tblCellMar>
      </w:tblPr>
      <w:tblGrid>
        <w:gridCol w:w="871"/>
        <w:gridCol w:w="226"/>
        <w:gridCol w:w="2026"/>
        <w:gridCol w:w="691"/>
        <w:gridCol w:w="961"/>
        <w:gridCol w:w="706"/>
        <w:gridCol w:w="691"/>
        <w:gridCol w:w="1246"/>
        <w:gridCol w:w="1246"/>
        <w:gridCol w:w="1186"/>
        <w:gridCol w:w="1186"/>
        <w:gridCol w:w="178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2026"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24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4222"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202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202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4222"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2026" w:type="dxa"/>
            <w:tcBorders/>
            <w:shd w:fill="E7E7E2" w:val="clear"/>
            <w:vAlign w:val="center"/>
          </w:tcPr>
          <w:p>
            <w:pPr>
              <w:pStyle w:val="TableContents"/>
              <w:bidi w:val="0"/>
              <w:spacing w:before="0" w:after="283"/>
              <w:jc w:val="left"/>
              <w:rPr/>
            </w:pPr>
            <w:r>
              <w:rPr/>
              <w:t xml:space="preserve">MoonLake Immunotherapeutics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333-274286 </w:t>
            </w:r>
          </w:p>
        </w:tc>
        <w:tc>
          <w:tcPr>
            <w:tcW w:w="706" w:type="dxa"/>
            <w:tcBorders/>
            <w:shd w:fill="E7E7E2" w:val="clear"/>
            <w:vAlign w:val="center"/>
          </w:tcPr>
          <w:p>
            <w:pPr>
              <w:pStyle w:val="TableContents"/>
              <w:bidi w:val="0"/>
              <w:spacing w:before="0" w:after="283"/>
              <w:jc w:val="left"/>
              <w:rPr/>
            </w:pPr>
            <w:r>
              <w:rPr/>
              <w:t xml:space="preserve">08/31/2023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$ 41,430.00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$ 300,000,000.00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pPr>
            <w:r>
              <w:rPr/>
              <w:t xml:space="preserve">2 </w:t>
            </w:r>
          </w:p>
        </w:tc>
        <w:tc>
          <w:tcPr>
            <w:tcW w:w="2026" w:type="dxa"/>
            <w:tcBorders/>
            <w:shd w:fill="E7E7E2" w:val="clear"/>
            <w:vAlign w:val="center"/>
          </w:tcPr>
          <w:p>
            <w:pPr>
              <w:pStyle w:val="TableContents"/>
              <w:bidi w:val="0"/>
              <w:spacing w:before="0" w:after="283"/>
              <w:jc w:val="left"/>
              <w:rPr/>
            </w:pPr>
            <w:r>
              <w:rPr/>
              <w:t xml:space="preserve">MoonLake Immunotherapeutics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333-274286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08/31/2023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$ 41,430.00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4"/>
        <w:gridCol w:w="8711"/>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The offering that includes the Unsold Securities (as defined below) under the August 2023 Registration Statement (as defined below) is hereby terminated. The registrant has previously registered the offer and sale of up to $1,000,000,000 of securities pursuant to a registration statement on Form S-3 (File No. 333-274286), which was initially filed with the Securities and Exchange Commission on August 31, 2023 and became effective on September 11, 2023 (the "August 2023 Registration Statement"). In connection with the filing of the August 2023 Registration Statement, the registrant made a contemporaneous fee payment in the amount of $110,200.00. Of the $1,000,000,000 of securities registered under the August 2023 Registration Statement, $558,820,982 of securities remains unsold (the "Unsold Securities"). Pursuant to Rule 457(p) under the Securities Act, the registration fee of $41,430.00 that has already been paid and remains unused with respect to the Unsold Securities is hereby offset against the registration fee of $41,430.00 due for this offering. The offering that includes the Unsold Securities under the August 2023 Registration Statement is hereby terminated.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pPr>
            <w:r>
              <w:rPr>
                <w:b/>
              </w:rPr>
              <w:t>Offset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4"/>
        <w:gridCol w:w="8709"/>
      </w:tblGrid>
      <w:tr>
        <w:trPr/>
        <w:tc>
          <w:tcPr>
            <w:tcW w:w="202"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3" w:type="dxa"/>
            <w:gridSpan w:val="2"/>
            <w:tcBorders/>
            <w:vAlign w:val="center"/>
          </w:tcPr>
          <w:p>
            <w:pPr>
              <w:pStyle w:val="TableContents"/>
              <w:bidi w:val="0"/>
              <w:spacing w:before="0" w:after="283"/>
              <w:jc w:val="left"/>
              <w:rPr/>
            </w:pPr>
            <w:r>
              <w:rPr/>
              <w:t xml:space="preserve">The registrant has previously registered the offer and sale of up to $1,000,000,000 of securities pursuant to the August 2023 Registration Statement. In connection with the filing of the August 2023 Registration Statement, the registrant made a contemporaneous fee payment in the amount of $110,200.00. Of the $1,000,000,000 of securities registered under the August 2023 Registration Statement, $558,820,982 of securities remains unsold. Pursuant to Rule 457(p) under the Securities Act, the registration fee of $41,430.00 that has already been paid and remains unused with respect to the Unsold Securities is hereby offset against the registration fee of $41,430.00 due for this offering. The offering that includes the Unsold Securities under the August 2023 Registration Statement is hereby terminated.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0001821586/000182158626000002/mnlk-20251231.htm" TargetMode="External"/><Relationship Id="rId4" Type="http://schemas.openxmlformats.org/officeDocument/2006/relationships/hyperlink" Target="http://www.sec.gov/ix?doc=/Archives/edgar/data/0001821586/000114036126015916/ny20067252x1_def14a.htm" TargetMode="External"/><Relationship Id="rId5" Type="http://schemas.openxmlformats.org/officeDocument/2006/relationships/hyperlink" Target="https://www.sec.gov/ix?doc=/Archives/edgar/data/0001821586/000182158626000007/mnlk-20260331.htm" TargetMode="External"/><Relationship Id="rId6" Type="http://schemas.openxmlformats.org/officeDocument/2006/relationships/hyperlink" Target="http://www.sec.gov/ix?doc=/Archives/edgar/data/1821586/000182158626000010/mnlk-20260630.htm" TargetMode="External"/><Relationship Id="rId7" Type="http://schemas.openxmlformats.org/officeDocument/2006/relationships/hyperlink" Target="https://www.sec.gov/ix?doc=/Archives/edgar/data/0001821586/000121390026002344/ea0272252-8k_moonlake.htm" TargetMode="External"/><Relationship Id="rId8" Type="http://schemas.openxmlformats.org/officeDocument/2006/relationships/hyperlink" Target="https://www.sec.gov/ix?doc=/Archives/edgar/data/0001821586/000121390026018967/ea0277910-8k_moonlake.htm" TargetMode="External"/><Relationship Id="rId9" Type="http://schemas.openxmlformats.org/officeDocument/2006/relationships/hyperlink" Target="https://www.sec.gov/ix?doc=/Archives/edgar/data/0001821586/000121390026063125/ea0292693-8k_moonlake.htm" TargetMode="External"/><Relationship Id="rId10" Type="http://schemas.openxmlformats.org/officeDocument/2006/relationships/hyperlink" Target="https://www.sec.gov/ix?doc=/Archives/edgar/data/0001821586/000121390026066821/ea0294064-8k_moonlake.htm" TargetMode="External"/><Relationship Id="rId11" Type="http://schemas.openxmlformats.org/officeDocument/2006/relationships/hyperlink" Target="https://www.sec.gov/ix?doc=/Archives/edgar/data/0001821586/000121390026070362/ea0295399-8k_moonlake.htm" TargetMode="External"/><Relationship Id="rId12" Type="http://schemas.openxmlformats.org/officeDocument/2006/relationships/hyperlink" Target="https://www.sec.gov/ix?doc=/Archives/edgar/data/0001821586/000121390026071721/ea0295766-8k_moonlake.htm" TargetMode="External"/><Relationship Id="rId13" Type="http://schemas.openxmlformats.org/officeDocument/2006/relationships/hyperlink" Target="https://www.sec.gov/ix?doc=/Archives/edgar/data/0001821586/000121390026078031/ea0298054-8k_moonlake.htm" TargetMode="External"/><Relationship Id="rId14" Type="http://schemas.openxmlformats.org/officeDocument/2006/relationships/hyperlink" Target="https://www.sec.gov/Archives/edgar/data/1821586/000182158626000002/mltx-exhibit4111.htm" TargetMode="External"/><Relationship Id="rId15" Type="http://schemas.openxmlformats.org/officeDocument/2006/relationships/hyperlink" Target="https://www.sec.gov/ix?doc=/Archives/edgar/data/1821586/000182158626000002/mnlk-20251231.htm" TargetMode="External"/><Relationship Id="rId16" Type="http://schemas.openxmlformats.org/officeDocument/2006/relationships/image" Target="media/image1.jpeg"/><Relationship Id="rId17" Type="http://schemas.openxmlformats.org/officeDocument/2006/relationships/hyperlink" Target="https://www.sec.gov/ix?doc=/Archives/edgar/data/1821586/000182158626000002/mnlk-20251231.htm" TargetMode="External"/><Relationship Id="rId18" Type="http://schemas.openxmlformats.org/officeDocument/2006/relationships/hyperlink" Target="https://www.sec.gov/ix?doc=/Archives/edgar/data/1821586/000114036126015916/ny20067252x1_def14a.htm" TargetMode="External"/><Relationship Id="rId19" Type="http://schemas.openxmlformats.org/officeDocument/2006/relationships/hyperlink" Target="http://www.sec.gov/ix?doc=/Archives/edgar/data/1821586/000182158626000007/mnlk-20260331.htm" TargetMode="External"/><Relationship Id="rId20" Type="http://schemas.openxmlformats.org/officeDocument/2006/relationships/hyperlink" Target="http://www.sec.gov/ix?doc=/Archives/edgar/data/1821586/000182158626000010/mnlk-20260630.htm" TargetMode="External"/><Relationship Id="rId21" Type="http://schemas.openxmlformats.org/officeDocument/2006/relationships/hyperlink" Target="https://www.sec.gov/ix?doc=/Archives/edgar/data/1821586/000121390026002344/ea0272252-8k_moonlake.htm" TargetMode="External"/><Relationship Id="rId22" Type="http://schemas.openxmlformats.org/officeDocument/2006/relationships/hyperlink" Target="https://www.sec.gov/ix?doc=/Archives/edgar/data/1821586/000121390026018967/ea0277910-8k_moonlake.htm" TargetMode="External"/><Relationship Id="rId23" Type="http://schemas.openxmlformats.org/officeDocument/2006/relationships/hyperlink" Target="https://www.sec.gov/ix?doc=/Archives/edgar/data/1821586/000121390026063125/ea0292693-8k_moonlake.htm" TargetMode="External"/><Relationship Id="rId24" Type="http://schemas.openxmlformats.org/officeDocument/2006/relationships/hyperlink" Target="https://www.sec.gov/ix?doc=/Archives/edgar/data/1821586/000121390026066821/ea0294064-8k_moonlake.htm" TargetMode="External"/><Relationship Id="rId25" Type="http://schemas.openxmlformats.org/officeDocument/2006/relationships/hyperlink" Target="https://www.sec.gov/ix?doc=/Archives/edgar/data/1821586/000121390026070362/ea0295399-8k_moonlake.htm" TargetMode="External"/><Relationship Id="rId26" Type="http://schemas.openxmlformats.org/officeDocument/2006/relationships/hyperlink" Target="https://www.sec.gov/ix?doc=/Archives/edgar/data/1821586/000121390026071721/ea0295766-8k_moonlake.htm" TargetMode="External"/><Relationship Id="rId27" Type="http://schemas.openxmlformats.org/officeDocument/2006/relationships/hyperlink" Target="https://www.sec.gov/ix?doc=/Archives/edgar/data/1821586/000121390026078031/ea0298054-8k_moonlake.htm" TargetMode="External"/><Relationship Id="rId28" Type="http://schemas.openxmlformats.org/officeDocument/2006/relationships/hyperlink" Target="https://www.sec.gov/Archives/edgar/data/1821586/000182158626000002/mltx-exhibit4111.htm" TargetMode="External"/><Relationship Id="rId29" Type="http://schemas.openxmlformats.org/officeDocument/2006/relationships/hyperlink" Target="https://www.sec.gov/ix?doc=/Archives/edgar/data/1821586/000182158626000002/mnlk-20251231.htm" TargetMode="External"/><Relationship Id="rId30" Type="http://schemas.openxmlformats.org/officeDocument/2006/relationships/image" Target="media/image1.jpeg"/><Relationship Id="rId31" Type="http://schemas.openxmlformats.org/officeDocument/2006/relationships/hyperlink" Target="https://www.sec.gov/Archives/edgar/data/1821586/000162828023031149/exhibit12-sx308312023.htm" TargetMode="External"/><Relationship Id="rId32" Type="http://schemas.openxmlformats.org/officeDocument/2006/relationships/hyperlink" Target="https://www.sec.gov/Archives/edgar/data/1821586/000121390021051257/ea147872ex2-1_helixacq.htm" TargetMode="External"/><Relationship Id="rId33" Type="http://schemas.openxmlformats.org/officeDocument/2006/relationships/hyperlink" Target="https://www.sec.gov/Archives/edgar/data/1821586/000121390022019217/ea158227ex3-1_moonlake.htm" TargetMode="External"/><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91498</Words>
  <Characters>470236</Characters>
  <CharactersWithSpaces>561491</CharactersWithSpaces>
  <Paragraphs>5638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