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0659-s8_moonlake.htm"/>
      <w:bookmarkStart w:id="1" w:name="ksea0300659s8_moonlake"/>
      <w:bookmarkEnd w:id="0"/>
      <w:bookmarkEnd w:id="1"/>
      <w:r>
        <w:rPr>
          <w:rFonts w:ascii="Times New Roman;Times;Serif" w:hAnsi="Times New Roman;Times;Serif"/>
          <w:b/>
          <w:i w:val="false"/>
          <w:caps w:val="false"/>
          <w:smallCaps w:val="false"/>
          <w:sz w:val="20"/>
        </w:rPr>
        <w:t>As filed with the Securities and Exchange Commission on August 10,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moonlake IMMUNOTHERAPEUTICs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28" w:type="dxa"/>
          <w:right w:w="0" w:type="dxa"/>
        </w:tblCellMar>
      </w:tblPr>
      <w:tblGrid>
        <w:gridCol w:w="2525"/>
        <w:gridCol w:w="60"/>
        <w:gridCol w:w="153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98-1711963</w:t>
            </w:r>
          </w:p>
        </w:tc>
      </w:tr>
      <w:tr>
        <w:trPr/>
        <w:tc>
          <w:tcPr>
            <w:tcW w:w="252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Dorfstrasse 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6300 Zug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Switzerland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41 415108022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MoonLake Immunotherapeutics Amended and Restated 2022 Equity Incentive Plan</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 Corporate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 Elgin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George Town, Grand Cayman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KY1-9008,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(302) 338-9130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Copies to</w:t>
      </w:r>
      <w:r>
        <w:rPr>
          <w:rFonts w:ascii="Times New Roman;Times;Serif" w:hAnsi="Times New Roman;Times;Serif"/>
          <w:b/>
          <w:i w:val="false"/>
          <w:caps w:val="false"/>
          <w:smallCaps w:val="false"/>
          <w:sz w:val="20"/>
        </w:rPr>
        <w:t>:</w:t>
      </w:r>
    </w:p>
    <w:tbl>
      <w:tblPr>
        <w:tblW w:w="3275" w:type="dxa"/>
        <w:jc w:val="left"/>
        <w:tblInd w:w="0" w:type="dxa"/>
        <w:tblLayout w:type="fixed"/>
        <w:tblCellMar>
          <w:top w:w="0" w:type="dxa"/>
          <w:left w:w="0" w:type="dxa"/>
          <w:bottom w:w="0" w:type="dxa"/>
          <w:right w:w="0" w:type="dxa"/>
        </w:tblCellMar>
      </w:tblPr>
      <w:tblGrid>
        <w:gridCol w:w="75"/>
        <w:gridCol w:w="3125"/>
        <w:gridCol w:w="75"/>
      </w:tblGrid>
      <w:tr>
        <w:trPr/>
        <w:tc>
          <w:tcPr>
            <w:tcW w:w="75"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Feller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 Avenue of the Stars Suite 1200N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90067-4700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551 - 8746</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being filed by MoonLake Immunotherapeutics (the “Registrant”) relating to 5,000,000 shares of the Registrant’s Class A ordinary shares, par value $0.0001 per share (the “Ordinary Shares”), issuable to eligible individuals under the MoonLake Immunotherapeutics Amended and Restated 2022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Plan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to be filed with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Registrant Information and Employee Plan Annual Information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to be filed with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Documents containing the information specified in Part I of Form S-8 have been and/or will be sent or given to employees as specified by Rule 428(b)(1) under the Securities Act of 1933, as amended (the “Securities Act”). In accordance with the instructions of Part I of Form S-8, such documents will not be filed with the Securities and Exchange Commission (the “Commission”) either as part of this Registration Statement or as prospectuses or prospectus supplements pursuant to Rule 424 under the Securities Act. These documents and the documents incorporated by reference pursuant to Item 3 of Part II of this Registration Statement, taken together, constitute the prospectus as required by Section 10(a) of the Securities Act.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REGISTRATION STATEMENT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by reference herein and shall be deemed to be a part hereof:</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The Registrant’s Annual Report on </w:t>
            </w:r>
            <w:hyperlink r:id="rId2">
              <w:r>
                <w:rPr>
                  <w:rStyle w:val="InternetLink"/>
                </w:rPr>
                <w:t>Form 10-K</w:t>
              </w:r>
            </w:hyperlink>
            <w:r>
              <w:rPr/>
              <w:t xml:space="preserve"> for the fiscal year ended December 31, 2025, filed on February 25,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The Registrant’s Quarterly Reports on Form 10-Q for the quarterly periods ended March 31, 2026 and June 30, 2026 and filed on </w:t>
            </w:r>
            <w:hyperlink r:id="rId3">
              <w:r>
                <w:rPr>
                  <w:rStyle w:val="InternetLink"/>
                </w:rPr>
                <w:t>May 11, 2026</w:t>
              </w:r>
            </w:hyperlink>
            <w:r>
              <w:rPr/>
              <w:t xml:space="preserve"> and </w:t>
            </w:r>
            <w:hyperlink r:id="rId4">
              <w:r>
                <w:rPr>
                  <w:rStyle w:val="InternetLink"/>
                </w:rPr>
                <w:t>August 10, 2026</w:t>
              </w:r>
            </w:hyperlink>
            <w:r>
              <w:rPr/>
              <w:t>, respectively;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The Registrant’s Current Reports on Form 8-K filed on </w:t>
            </w:r>
            <w:hyperlink r:id="rId5">
              <w:r>
                <w:rPr>
                  <w:rStyle w:val="InternetLink"/>
                </w:rPr>
                <w:t>January 8, 2026</w:t>
              </w:r>
            </w:hyperlink>
            <w:r>
              <w:rPr/>
              <w:t xml:space="preserve">, </w:t>
            </w:r>
            <w:hyperlink r:id="rId6">
              <w:r>
                <w:rPr>
                  <w:rStyle w:val="InternetLink"/>
                </w:rPr>
                <w:t>February 23, 2026</w:t>
              </w:r>
            </w:hyperlink>
            <w:r>
              <w:rPr/>
              <w:t xml:space="preserve">, </w:t>
            </w:r>
            <w:hyperlink r:id="rId7">
              <w:r>
                <w:rPr>
                  <w:rStyle w:val="InternetLink"/>
                </w:rPr>
                <w:t>June 1, 2026</w:t>
              </w:r>
            </w:hyperlink>
            <w:r>
              <w:rPr/>
              <w:t xml:space="preserve">, </w:t>
            </w:r>
            <w:hyperlink r:id="rId8">
              <w:r>
                <w:rPr>
                  <w:rStyle w:val="InternetLink"/>
                </w:rPr>
                <w:t>June 9, 2026</w:t>
              </w:r>
            </w:hyperlink>
            <w:r>
              <w:rPr/>
              <w:t xml:space="preserve">, </w:t>
            </w:r>
            <w:hyperlink r:id="rId9">
              <w:r>
                <w:rPr>
                  <w:rStyle w:val="InternetLink"/>
                </w:rPr>
                <w:t>June 22, 2026</w:t>
              </w:r>
            </w:hyperlink>
            <w:r>
              <w:rPr/>
              <w:t xml:space="preserve">, </w:t>
            </w:r>
            <w:hyperlink r:id="rId10">
              <w:r>
                <w:rPr>
                  <w:rStyle w:val="InternetLink"/>
                </w:rPr>
                <w:t>June 25, 2026</w:t>
              </w:r>
            </w:hyperlink>
            <w:r>
              <w:rPr/>
              <w:t xml:space="preserve"> and </w:t>
            </w:r>
            <w:hyperlink r:id="rId11">
              <w:r>
                <w:rPr>
                  <w:rStyle w:val="InternetLink"/>
                </w:rPr>
                <w:t>July 15, 2026</w:t>
              </w:r>
            </w:hyperlink>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The description of the Registrant’s Ordinary Shares contained in the Registrant’s Registration Statement on </w:t>
            </w:r>
            <w:hyperlink r:id="rId12">
              <w:r>
                <w:rPr>
                  <w:rStyle w:val="InternetLink"/>
                </w:rPr>
                <w:t>Form 8-A</w:t>
              </w:r>
            </w:hyperlink>
            <w:r>
              <w:rPr/>
              <w:t xml:space="preserve"> (File No. 001-39630) filed with the Commission on October 19, 2020, pursuant to Rule 12g-3 promulgated under the Securities Exchange Act of 1934, as amended (the “Exchange Act”), as updated by </w:t>
            </w:r>
            <w:hyperlink r:id="rId13">
              <w:r>
                <w:rPr>
                  <w:rStyle w:val="InternetLink"/>
                </w:rPr>
                <w:t>Exhibit 4.1</w:t>
              </w:r>
            </w:hyperlink>
            <w:r>
              <w:rPr/>
              <w:t xml:space="preserve"> to the Annual Report on </w:t>
            </w:r>
            <w:hyperlink r:id="rId14">
              <w:r>
                <w:rPr>
                  <w:rStyle w:val="InternetLink"/>
                </w:rPr>
                <w:t>Form 10-K</w:t>
              </w:r>
            </w:hyperlink>
            <w:r>
              <w:rPr/>
              <w:t xml:space="preserve"> for the fiscal year ended December 31, 2025, filed on February 25, 2026, including any amendment or report filed for the purpose of updating such description.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the Registrant pursuant to Sections 13(a), 13(c), 14, and 15(d) of the Exchange Act, prior to the filing of a post-effective amendment which indicates that all securities being offered have been sold or which deregisters all securities then remaining unsold, shall be deemed to be incorporated herein by reference and to be a part hereof from the dates of filing of such documents. Notwithstanding the foregoing, unless specifically stated to the contrary in such filing, none of the information that the Registrant discloses under Items 2.02 or 7.01 of any Current Report on Form 8-K that it may from time to time furnish to the Commission will be incorporated by reference into, or otherwise be included in or deemed to be a part of,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144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Interests of Named Experts and Counsel.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incorporated in the Cayman Islands.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Registrant’s Memorandum and Articles of Association (the “MAA”) provides for indemnification of the Registrant’s officers and directors to the maximum extent permitted by law, including for any liability incurred in their capacities as such, except through their own actual fraud, willful default or willful neglect. The Registrant purchased a policy of directors’ and officers’ liability insurance that insures the Registrant’s officers and directors against the cost of defense, settlement or payment of a judgment in some circumstances and insures the Registrant against their obligations to indemnify their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directors and executive officers that obligates the Registrant to indemnify, hold harmless, exonerate, and to advance expenses as incurred, to the fullest extent permitted under applicable law, from damage arising from the fact that such person is or was an officer or director of the Registrant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rights set forth above shall not be exclusive of any other right which an indemnified person may have or hereafter acquire under any statute, the MAA, any agreement, any vote of shareholders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indemnification obligations may discourage shareholders from bringing a lawsuit against its officers or directors for breach of their fiduciary duty. These provisions also may have the effect of reducing the likelihood of derivative litigation against the Registrant’s officers and directors, even though such an action, if successful, might otherwise benefit the Registrant and its shareholders. Furthermore, a shareholder’s investment may be adversely affected to the extent the Registrant pays the costs of settlement and damage awards against its officers and directors pursuant to these indemnification provisions. Insofar as indemnification for liabilities arising under the Securities Act may be permitted to directors, officers, or control persons, in the opinion of the Commission, such indemnification is against public policy as expressed in the Securities Act and is therefore unenforceable.</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Exemption from Registration Claimed.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2"/>
        <w:gridCol w:w="60"/>
        <w:gridCol w:w="9183"/>
      </w:tblGrid>
      <w:tr>
        <w:trPr/>
        <w:tc>
          <w:tcPr>
            <w:tcW w:w="962"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83" w:type="dxa"/>
            <w:tcBorders>
              <w:bottom w:val="single" w:sz="12" w:space="0" w:color="000000"/>
            </w:tcBorders>
            <w:vAlign w:val="center"/>
          </w:tcPr>
          <w:p>
            <w:pPr>
              <w:pStyle w:val="TableContents"/>
              <w:bidi w:val="0"/>
              <w:spacing w:before="0" w:after="283"/>
              <w:jc w:val="left"/>
              <w:rPr>
                <w:b/>
              </w:rPr>
            </w:pPr>
            <w:r>
              <w:rPr>
                <w:b/>
              </w:rPr>
              <w:t>Exhibit Description</w:t>
            </w:r>
          </w:p>
        </w:tc>
      </w:tr>
      <w:tr>
        <w:trPr/>
        <w:tc>
          <w:tcPr>
            <w:tcW w:w="962"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3" w:type="dxa"/>
            <w:tcBorders/>
            <w:shd w:fill="CCEEFF" w:val="clear"/>
            <w:tcMar>
              <w:bottom w:w="0" w:type="dxa"/>
            </w:tcMar>
            <w:vAlign w:val="center"/>
          </w:tcPr>
          <w:p>
            <w:pPr>
              <w:pStyle w:val="TableContents"/>
              <w:bidi w:val="0"/>
              <w:spacing w:before="0" w:after="283"/>
              <w:jc w:val="left"/>
              <w:rPr/>
            </w:pPr>
            <w:hyperlink r:id="rId15">
              <w:r>
                <w:rPr>
                  <w:rStyle w:val="InternetLink"/>
                </w:rPr>
                <w:t>Memorandum and Articles of Association of MoonLake Immunotherapeutics (incorporated by reference to Exhibit 3.1 of the Registrant’s Form 8-K, filed with the Commission on April 11, 2022).</w:t>
              </w:r>
            </w:hyperlink>
          </w:p>
        </w:tc>
      </w:tr>
      <w:tr>
        <w:trPr/>
        <w:tc>
          <w:tcPr>
            <w:tcW w:w="9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3" w:type="dxa"/>
            <w:tcBorders/>
            <w:shd w:fill="FFFFFF" w:val="clear"/>
            <w:tcMar>
              <w:bottom w:w="0" w:type="dxa"/>
            </w:tcMar>
            <w:vAlign w:val="center"/>
          </w:tcPr>
          <w:p>
            <w:pPr>
              <w:pStyle w:val="TableContents"/>
              <w:bidi w:val="0"/>
              <w:spacing w:before="0" w:after="283"/>
              <w:jc w:val="left"/>
              <w:rPr/>
            </w:pPr>
            <w:r>
              <w:rPr/>
              <w:t> </w:t>
            </w:r>
          </w:p>
        </w:tc>
      </w:tr>
      <w:tr>
        <w:trPr/>
        <w:tc>
          <w:tcPr>
            <w:tcW w:w="962"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3" w:type="dxa"/>
            <w:tcBorders/>
            <w:shd w:fill="CCEEFF" w:val="clear"/>
            <w:tcMar>
              <w:bottom w:w="0" w:type="dxa"/>
            </w:tcMar>
            <w:vAlign w:val="center"/>
          </w:tcPr>
          <w:p>
            <w:pPr>
              <w:pStyle w:val="TableContents"/>
              <w:bidi w:val="0"/>
              <w:spacing w:before="0" w:after="283"/>
              <w:jc w:val="left"/>
              <w:rPr/>
            </w:pPr>
            <w:hyperlink w:anchor="ea030065901ex5-1.htm">
              <w:r>
                <w:rPr>
                  <w:rStyle w:val="InternetLink"/>
                </w:rPr>
                <w:t>Opinion of Walkers (Cayman) LLP</w:t>
              </w:r>
            </w:hyperlink>
          </w:p>
        </w:tc>
      </w:tr>
      <w:tr>
        <w:trPr/>
        <w:tc>
          <w:tcPr>
            <w:tcW w:w="9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3" w:type="dxa"/>
            <w:tcBorders/>
            <w:shd w:fill="FFFFFF" w:val="clear"/>
            <w:tcMar>
              <w:bottom w:w="0" w:type="dxa"/>
            </w:tcMar>
            <w:vAlign w:val="center"/>
          </w:tcPr>
          <w:p>
            <w:pPr>
              <w:pStyle w:val="TableContents"/>
              <w:bidi w:val="0"/>
              <w:spacing w:before="0" w:after="283"/>
              <w:jc w:val="left"/>
              <w:rPr/>
            </w:pPr>
            <w:r>
              <w:rPr/>
              <w:t> </w:t>
            </w:r>
          </w:p>
        </w:tc>
      </w:tr>
      <w:tr>
        <w:trPr/>
        <w:tc>
          <w:tcPr>
            <w:tcW w:w="962"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3" w:type="dxa"/>
            <w:tcBorders/>
            <w:shd w:fill="CCEEFF" w:val="clear"/>
            <w:tcMar>
              <w:bottom w:w="0" w:type="dxa"/>
            </w:tcMar>
            <w:vAlign w:val="center"/>
          </w:tcPr>
          <w:p>
            <w:pPr>
              <w:pStyle w:val="TableContents"/>
              <w:bidi w:val="0"/>
              <w:spacing w:before="0" w:after="283"/>
              <w:jc w:val="left"/>
              <w:rPr/>
            </w:pPr>
            <w:hyperlink w:anchor="ea030065901ex5-1.htm">
              <w:r>
                <w:rPr>
                  <w:rStyle w:val="InternetLink"/>
                </w:rPr>
                <w:t>Consent of Walkers (Cayman) LLP (included in Exhibit 5.1).</w:t>
              </w:r>
            </w:hyperlink>
          </w:p>
        </w:tc>
      </w:tr>
      <w:tr>
        <w:trPr/>
        <w:tc>
          <w:tcPr>
            <w:tcW w:w="9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3" w:type="dxa"/>
            <w:tcBorders/>
            <w:shd w:fill="FFFFFF" w:val="clear"/>
            <w:tcMar>
              <w:bottom w:w="0" w:type="dxa"/>
            </w:tcMar>
            <w:vAlign w:val="center"/>
          </w:tcPr>
          <w:p>
            <w:pPr>
              <w:pStyle w:val="TableContents"/>
              <w:bidi w:val="0"/>
              <w:spacing w:before="0" w:after="283"/>
              <w:jc w:val="left"/>
              <w:rPr/>
            </w:pPr>
            <w:r>
              <w:rPr/>
              <w:t> </w:t>
            </w:r>
          </w:p>
        </w:tc>
      </w:tr>
      <w:tr>
        <w:trPr/>
        <w:tc>
          <w:tcPr>
            <w:tcW w:w="962" w:type="dxa"/>
            <w:tcBorders/>
            <w:shd w:fill="CCEEFF" w:val="clear"/>
            <w:tcMar>
              <w:bottom w:w="0" w:type="dxa"/>
            </w:tcMar>
            <w:vAlign w:val="center"/>
          </w:tcPr>
          <w:p>
            <w:pPr>
              <w:pStyle w:val="TableContents"/>
              <w:bidi w:val="0"/>
              <w:spacing w:before="0" w:after="283"/>
              <w:jc w:val="left"/>
              <w:rPr/>
            </w:pPr>
            <w:r>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3" w:type="dxa"/>
            <w:tcBorders/>
            <w:shd w:fill="CCEEFF" w:val="clear"/>
            <w:tcMar>
              <w:bottom w:w="0" w:type="dxa"/>
            </w:tcMar>
            <w:vAlign w:val="center"/>
          </w:tcPr>
          <w:p>
            <w:pPr>
              <w:pStyle w:val="TableContents"/>
              <w:bidi w:val="0"/>
              <w:spacing w:before="0" w:after="283"/>
              <w:jc w:val="left"/>
              <w:rPr/>
            </w:pPr>
            <w:hyperlink w:anchor="ea030065901ex23-2.htm">
              <w:r>
                <w:rPr>
                  <w:rStyle w:val="InternetLink"/>
                </w:rPr>
                <w:t>Consent of Baker Tilly US, LLP.</w:t>
              </w:r>
            </w:hyperlink>
          </w:p>
        </w:tc>
      </w:tr>
      <w:tr>
        <w:trPr/>
        <w:tc>
          <w:tcPr>
            <w:tcW w:w="9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3" w:type="dxa"/>
            <w:tcBorders/>
            <w:shd w:fill="FFFFFF" w:val="clear"/>
            <w:tcMar>
              <w:bottom w:w="0" w:type="dxa"/>
            </w:tcMar>
            <w:vAlign w:val="center"/>
          </w:tcPr>
          <w:p>
            <w:pPr>
              <w:pStyle w:val="TableContents"/>
              <w:bidi w:val="0"/>
              <w:spacing w:before="0" w:after="283"/>
              <w:jc w:val="left"/>
              <w:rPr/>
            </w:pPr>
            <w:r>
              <w:rPr/>
              <w:t> </w:t>
            </w:r>
          </w:p>
        </w:tc>
      </w:tr>
      <w:tr>
        <w:trPr/>
        <w:tc>
          <w:tcPr>
            <w:tcW w:w="962"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3" w:type="dxa"/>
            <w:tcBorders/>
            <w:shd w:fill="CCEEFF" w:val="clear"/>
            <w:tcMar>
              <w:bottom w:w="0" w:type="dxa"/>
            </w:tcMar>
            <w:vAlign w:val="center"/>
          </w:tcPr>
          <w:p>
            <w:pPr>
              <w:pStyle w:val="TableContents"/>
              <w:bidi w:val="0"/>
              <w:spacing w:before="0" w:after="283"/>
              <w:jc w:val="left"/>
              <w:rPr/>
            </w:pPr>
            <w:hyperlink r:id="rId16">
              <w:r>
                <w:rPr>
                  <w:rStyle w:val="InternetLink"/>
                </w:rPr>
                <w:t>MoonLake Immunotherapeutics Amended and Restated 2022 Equity Incentive Plan (incorporated by reference to Exhibit 10.1 of the Registrant’s Form 8-K, filed with the Commission on June 9, 2026).</w:t>
              </w:r>
            </w:hyperlink>
          </w:p>
        </w:tc>
      </w:tr>
      <w:tr>
        <w:trPr/>
        <w:tc>
          <w:tcPr>
            <w:tcW w:w="9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3" w:type="dxa"/>
            <w:tcBorders/>
            <w:shd w:fill="FFFFFF" w:val="clear"/>
            <w:tcMar>
              <w:bottom w:w="0" w:type="dxa"/>
            </w:tcMar>
            <w:vAlign w:val="center"/>
          </w:tcPr>
          <w:p>
            <w:pPr>
              <w:pStyle w:val="TableContents"/>
              <w:bidi w:val="0"/>
              <w:spacing w:before="0" w:after="283"/>
              <w:jc w:val="left"/>
              <w:rPr/>
            </w:pPr>
            <w:r>
              <w:rPr/>
              <w:t> </w:t>
            </w:r>
          </w:p>
        </w:tc>
      </w:tr>
      <w:tr>
        <w:trPr/>
        <w:tc>
          <w:tcPr>
            <w:tcW w:w="962" w:type="dxa"/>
            <w:tcBorders/>
            <w:shd w:fill="CCEEFF" w:val="clear"/>
            <w:tcMar>
              <w:bottom w:w="0" w:type="dxa"/>
            </w:tcMar>
            <w:vAlign w:val="center"/>
          </w:tcPr>
          <w:p>
            <w:pPr>
              <w:pStyle w:val="TableContents"/>
              <w:bidi w:val="0"/>
              <w:spacing w:before="0" w:after="283"/>
              <w:jc w:val="left"/>
              <w:rPr/>
            </w:pPr>
            <w:r>
              <w:rPr/>
              <w:t>107.1*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3" w:type="dxa"/>
            <w:tcBorders/>
            <w:shd w:fill="CCEEFF" w:val="clear"/>
            <w:tcMar>
              <w:bottom w:w="0" w:type="dxa"/>
            </w:tcMar>
            <w:vAlign w:val="center"/>
          </w:tcPr>
          <w:p>
            <w:pPr>
              <w:pStyle w:val="TableContents"/>
              <w:bidi w:val="0"/>
              <w:spacing w:before="0" w:after="283"/>
              <w:jc w:val="left"/>
              <w:rPr/>
            </w:pPr>
            <w:hyperlink w:anchor="ea030065901ex-fee.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Undertakings.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Zug, Switzerland,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August, 2026.</w:t>
      </w:r>
    </w:p>
    <w:p>
      <w:pPr>
        <w:pStyle w:val="TextBody"/>
        <w:bidi w:val="0"/>
        <w:spacing w:before="0" w:after="0"/>
        <w:ind w:left="0" w:right="0" w:firstLine="72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710"/>
        <w:gridCol w:w="4220"/>
      </w:tblGrid>
      <w:tr>
        <w:trPr/>
        <w:tc>
          <w:tcPr>
            <w:tcW w:w="75" w:type="dxa"/>
            <w:tcBorders/>
            <w:vAlign w:val="center"/>
          </w:tcPr>
          <w:p>
            <w:pPr>
              <w:pStyle w:val="TableContents"/>
              <w:bidi w:val="0"/>
              <w:spacing w:before="0" w:after="283"/>
              <w:jc w:val="left"/>
              <w:rPr/>
            </w:pPr>
            <w:r>
              <w:rPr/>
              <w:t> </w:t>
            </w:r>
          </w:p>
        </w:tc>
        <w:tc>
          <w:tcPr>
            <w:tcW w:w="4930" w:type="dxa"/>
            <w:gridSpan w:val="2"/>
            <w:tcBorders/>
            <w:vAlign w:val="center"/>
          </w:tcPr>
          <w:p>
            <w:pPr>
              <w:pStyle w:val="TableContents"/>
              <w:bidi w:val="0"/>
              <w:spacing w:before="0" w:after="283"/>
              <w:jc w:val="left"/>
              <w:rPr>
                <w:b/>
              </w:rPr>
            </w:pPr>
            <w:r>
              <w:rPr>
                <w:b/>
              </w:rPr>
              <w:t xml:space="preserve">MOONLAKE IMMUNOTHERAPEUTICS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220" w:type="dxa"/>
            <w:tcBorders>
              <w:bottom w:val="single" w:sz="12" w:space="0" w:color="000000"/>
            </w:tcBorders>
            <w:tcMar>
              <w:bottom w:w="28" w:type="dxa"/>
            </w:tcMar>
            <w:vAlign w:val="center"/>
          </w:tcPr>
          <w:p>
            <w:pPr>
              <w:pStyle w:val="TableContents"/>
              <w:bidi w:val="0"/>
              <w:spacing w:before="0" w:after="283"/>
              <w:jc w:val="left"/>
              <w:rPr/>
            </w:pPr>
            <w:r>
              <w:rPr/>
              <w:t>/s/ Matthias Bodenstedt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220" w:type="dxa"/>
            <w:tcBorders/>
            <w:vAlign w:val="center"/>
          </w:tcPr>
          <w:p>
            <w:pPr>
              <w:pStyle w:val="TableContents"/>
              <w:bidi w:val="0"/>
              <w:spacing w:before="0" w:after="283"/>
              <w:jc w:val="left"/>
              <w:rPr/>
            </w:pPr>
            <w:r>
              <w:rPr/>
              <w:t>Matthias Bodenstedt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220"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hereby constitutes and appoints Dr. Jorge Santos da Silva and Matthias Bodenstedt,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Rule 462(b) under the Securities Act) to this Registration Statement, and to file the same, with all exhibits thereto, and other documents in connection therewith, with the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of his substitute or substitutes, may lawfully do or cause to be done by virtue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 indicated.</w:t>
      </w:r>
    </w:p>
    <w:p>
      <w:pPr>
        <w:pStyle w:val="TextBody"/>
        <w:bidi w:val="0"/>
        <w:spacing w:before="0" w:after="0"/>
        <w:ind w:left="0" w:right="0" w:firstLine="720"/>
        <w:jc w:val="left"/>
        <w:rPr>
          <w:caps w:val="false"/>
          <w:smallCaps w:val="false"/>
        </w:rPr>
      </w:pPr>
      <w:r>
        <w:rPr>
          <w:caps w:val="false"/>
          <w:smallCaps w:val="false"/>
        </w:rPr>
        <w:t> </w:t>
      </w:r>
    </w:p>
    <w:tbl>
      <w:tblPr>
        <w:tblW w:w="8910" w:type="dxa"/>
        <w:jc w:val="left"/>
        <w:tblInd w:w="0" w:type="dxa"/>
        <w:tblLayout w:type="fixed"/>
        <w:tblCellMar>
          <w:top w:w="0" w:type="dxa"/>
          <w:left w:w="0" w:type="dxa"/>
          <w:bottom w:w="28" w:type="dxa"/>
          <w:right w:w="0" w:type="dxa"/>
        </w:tblCellMar>
      </w:tblPr>
      <w:tblGrid>
        <w:gridCol w:w="2705"/>
        <w:gridCol w:w="60"/>
        <w:gridCol w:w="4460"/>
        <w:gridCol w:w="60"/>
        <w:gridCol w:w="1625"/>
      </w:tblGrid>
      <w:tr>
        <w:trPr/>
        <w:tc>
          <w:tcPr>
            <w:tcW w:w="2705" w:type="dxa"/>
            <w:tcBorders>
              <w:bottom w:val="single" w:sz="12"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446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625" w:type="dxa"/>
            <w:tcBorders>
              <w:bottom w:val="single" w:sz="12" w:space="0" w:color="000000"/>
            </w:tcBorders>
            <w:vAlign w:val="center"/>
          </w:tcPr>
          <w:p>
            <w:pPr>
              <w:pStyle w:val="TableContents"/>
              <w:bidi w:val="0"/>
              <w:spacing w:before="0" w:after="283"/>
              <w:jc w:val="center"/>
              <w:rPr>
                <w:b/>
              </w:rPr>
            </w:pPr>
            <w:r>
              <w:rPr>
                <w:b/>
              </w:rPr>
              <w:t>Date</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12" w:space="0" w:color="000000"/>
            </w:tcBorders>
            <w:vAlign w:val="center"/>
          </w:tcPr>
          <w:p>
            <w:pPr>
              <w:pStyle w:val="TableContents"/>
              <w:bidi w:val="0"/>
              <w:spacing w:before="0" w:after="283"/>
              <w:jc w:val="left"/>
              <w:rPr/>
            </w:pPr>
            <w:r>
              <w:rPr/>
              <w:t>/s/ Dr. Jorge Santos da Silva</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Chairperson; Chief Executive Officer; 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705" w:type="dxa"/>
            <w:tcBorders/>
            <w:tcMar>
              <w:bottom w:w="0" w:type="dxa"/>
            </w:tcMar>
            <w:vAlign w:val="center"/>
          </w:tcPr>
          <w:p>
            <w:pPr>
              <w:pStyle w:val="TableContents"/>
              <w:bidi w:val="0"/>
              <w:spacing w:before="0" w:after="283"/>
              <w:jc w:val="left"/>
              <w:rPr/>
            </w:pPr>
            <w:r>
              <w:rPr/>
              <w:t>Dr. Jorge Santos da Silva</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w:t>
            </w:r>
            <w:r>
              <w:rPr>
                <w:i/>
              </w:rPr>
              <w:t>Principal Executive Officer</w:t>
            </w:r>
            <w:r>
              <w:rPr/>
              <w:t>)</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12" w:space="0" w:color="000000"/>
            </w:tcBorders>
            <w:vAlign w:val="center"/>
          </w:tcPr>
          <w:p>
            <w:pPr>
              <w:pStyle w:val="TableContents"/>
              <w:bidi w:val="0"/>
              <w:spacing w:before="0" w:after="283"/>
              <w:jc w:val="left"/>
              <w:rPr/>
            </w:pPr>
            <w:r>
              <w:rPr/>
              <w:t>/s/ Matthias Bodenstedt</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705" w:type="dxa"/>
            <w:tcBorders/>
            <w:tcMar>
              <w:bottom w:w="0" w:type="dxa"/>
            </w:tcMar>
            <w:vAlign w:val="center"/>
          </w:tcPr>
          <w:p>
            <w:pPr>
              <w:pStyle w:val="TableContents"/>
              <w:bidi w:val="0"/>
              <w:spacing w:before="0" w:after="283"/>
              <w:jc w:val="left"/>
              <w:rPr/>
            </w:pPr>
            <w:r>
              <w:rPr/>
              <w:t>Matthias Bodenstedt</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w:t>
            </w:r>
            <w:r>
              <w:rPr>
                <w:i/>
              </w:rPr>
              <w:t>Principal Financial and Accounting Officer</w:t>
            </w:r>
            <w:r>
              <w:rPr/>
              <w:t>)</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12" w:space="0" w:color="000000"/>
            </w:tcBorders>
            <w:vAlign w:val="center"/>
          </w:tcPr>
          <w:p>
            <w:pPr>
              <w:pStyle w:val="TableContents"/>
              <w:bidi w:val="0"/>
              <w:spacing w:before="0" w:after="283"/>
              <w:jc w:val="left"/>
              <w:rPr/>
            </w:pPr>
            <w:r>
              <w:rPr/>
              <w:t>/s/ Spike Loy</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705" w:type="dxa"/>
            <w:tcBorders/>
            <w:tcMar>
              <w:bottom w:w="0" w:type="dxa"/>
            </w:tcMar>
            <w:vAlign w:val="center"/>
          </w:tcPr>
          <w:p>
            <w:pPr>
              <w:pStyle w:val="TableContents"/>
              <w:bidi w:val="0"/>
              <w:spacing w:before="0" w:after="283"/>
              <w:jc w:val="left"/>
              <w:rPr/>
            </w:pPr>
            <w:r>
              <w:rPr/>
              <w:t>Spike Loy</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12" w:space="0" w:color="000000"/>
            </w:tcBorders>
            <w:vAlign w:val="center"/>
          </w:tcPr>
          <w:p>
            <w:pPr>
              <w:pStyle w:val="TableContents"/>
              <w:bidi w:val="0"/>
              <w:spacing w:before="0" w:after="283"/>
              <w:jc w:val="left"/>
              <w:rPr/>
            </w:pPr>
            <w:r>
              <w:rPr/>
              <w:t>/s/ Catherine Moukheibir</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705" w:type="dxa"/>
            <w:tcBorders/>
            <w:tcMar>
              <w:bottom w:w="0" w:type="dxa"/>
            </w:tcMar>
            <w:vAlign w:val="center"/>
          </w:tcPr>
          <w:p>
            <w:pPr>
              <w:pStyle w:val="TableContents"/>
              <w:bidi w:val="0"/>
              <w:spacing w:before="0" w:after="283"/>
              <w:jc w:val="left"/>
              <w:rPr/>
            </w:pPr>
            <w:r>
              <w:rPr/>
              <w:t xml:space="preserve">Catherine Moukheibir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12" w:space="0" w:color="000000"/>
            </w:tcBorders>
            <w:vAlign w:val="center"/>
          </w:tcPr>
          <w:p>
            <w:pPr>
              <w:pStyle w:val="TableContents"/>
              <w:bidi w:val="0"/>
              <w:spacing w:before="0" w:after="283"/>
              <w:jc w:val="left"/>
              <w:rPr/>
            </w:pPr>
            <w:r>
              <w:rPr/>
              <w:t>/s/ Dr. Andrew Phillips</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705" w:type="dxa"/>
            <w:tcBorders/>
            <w:tcMar>
              <w:bottom w:w="0" w:type="dxa"/>
            </w:tcMar>
            <w:vAlign w:val="center"/>
          </w:tcPr>
          <w:p>
            <w:pPr>
              <w:pStyle w:val="TableContents"/>
              <w:bidi w:val="0"/>
              <w:spacing w:before="0" w:after="283"/>
              <w:jc w:val="left"/>
              <w:rPr/>
            </w:pPr>
            <w:r>
              <w:rPr/>
              <w:t>Dr. Andrew Phillips</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12" w:space="0" w:color="000000"/>
            </w:tcBorders>
            <w:vAlign w:val="center"/>
          </w:tcPr>
          <w:p>
            <w:pPr>
              <w:pStyle w:val="TableContents"/>
              <w:bidi w:val="0"/>
              <w:spacing w:before="0" w:after="283"/>
              <w:jc w:val="left"/>
              <w:rPr/>
            </w:pPr>
            <w:r>
              <w:rPr/>
              <w:t>/s/ Dr. Ramnik Xavier</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705" w:type="dxa"/>
            <w:tcBorders/>
            <w:tcMar>
              <w:bottom w:w="0" w:type="dxa"/>
            </w:tcMar>
            <w:vAlign w:val="center"/>
          </w:tcPr>
          <w:p>
            <w:pPr>
              <w:pStyle w:val="TableContents"/>
              <w:bidi w:val="0"/>
              <w:spacing w:before="0" w:after="283"/>
              <w:jc w:val="left"/>
              <w:rPr/>
            </w:pPr>
            <w:r>
              <w:rPr/>
              <w:t xml:space="preserve">Dr. Ramnik Xavier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II-5</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30065901ex5-1.htm"/>
      <w:bookmarkStart w:id="3" w:name="ksea030065901ex51"/>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3620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1362075" cy="2667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565"/>
        <w:gridCol w:w="3035"/>
      </w:tblGrid>
      <w:tr>
        <w:trPr/>
        <w:tc>
          <w:tcPr>
            <w:tcW w:w="1565" w:type="dxa"/>
            <w:tcBorders/>
            <w:vAlign w:val="center"/>
          </w:tcPr>
          <w:p>
            <w:pPr>
              <w:pStyle w:val="TableContents"/>
              <w:bidi w:val="0"/>
              <w:spacing w:before="0" w:after="283"/>
              <w:jc w:val="left"/>
              <w:rPr/>
            </w:pPr>
            <w:r>
              <w:rPr/>
              <w:t>10 August 2026</w:t>
            </w:r>
          </w:p>
        </w:tc>
        <w:tc>
          <w:tcPr>
            <w:tcW w:w="3035" w:type="dxa"/>
            <w:tcBorders/>
            <w:vAlign w:val="center"/>
          </w:tcPr>
          <w:p>
            <w:pPr>
              <w:pStyle w:val="TableContents"/>
              <w:bidi w:val="0"/>
              <w:spacing w:before="0" w:after="283"/>
              <w:jc w:val="right"/>
              <w:rPr/>
            </w:pPr>
            <w:r>
              <w:rPr/>
              <w:t>Our Ref: SF/ap/M6993-172608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20" w:type="dxa"/>
        <w:jc w:val="left"/>
        <w:tblInd w:w="0" w:type="dxa"/>
        <w:tblLayout w:type="fixed"/>
        <w:tblCellMar>
          <w:top w:w="0" w:type="dxa"/>
          <w:left w:w="0" w:type="dxa"/>
          <w:bottom w:w="0" w:type="dxa"/>
          <w:right w:w="0" w:type="dxa"/>
        </w:tblCellMar>
      </w:tblPr>
      <w:tblGrid>
        <w:gridCol w:w="2645"/>
        <w:gridCol w:w="75"/>
      </w:tblGrid>
      <w:tr>
        <w:trPr/>
        <w:tc>
          <w:tcPr>
            <w:tcW w:w="26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MoonLake Immunotherapeutics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Corporate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Addressee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asked to provide this legal opinion to you with regard to the laws of the Cayman Islands in connection with the issuance by MoonLake Immunotherapeutics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of up to an aggregate of 5,000,000 class A ordinary shares with a par value of US$0.0001 per share in the capital of the Company issuable pursuant to the MoonLake Immunotherapeutics Amended and Restated 2022 Equity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pursuant to the Registration Statement on Form S-8 (including all supplements and amendments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to be filed with the United States Securities and Exchange Commission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originals or copies of the documents listed in 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examinations and assumptions and upon such searches as we have conducted and having regard to legal considerations which we consider relevant, and under the laws of the Cayman Islands, we give the following opinions in relation to the matters set out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283"/>
              <w:jc w:val="left"/>
              <w:rPr/>
            </w:pPr>
            <w:r>
              <w:rPr/>
              <w:t>The Company is an exempted company duly incorporated with limited liability and validly existing under the laws of the Cayman Islands and in good standing with the Registrar of Companies of the Cayman Islands (the “</w:t>
            </w:r>
            <w:r>
              <w:rPr>
                <w:b/>
              </w:rPr>
              <w:t>Registrar</w:t>
            </w:r>
            <w:r>
              <w:rPr/>
              <w:t>”).</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 George Town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KY1-9001, Cayman Islands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+1 345 949 0100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+1 345 949 7886 www.walkersglobal.com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left"/>
              <w:rPr/>
            </w:pPr>
            <w:r>
              <w:rPr/>
              <w:t>The Shares have been duly authorised by all necessary corporate action of the Company and, upon the issue of the Shares (by the entry of the name of the registered owner thereof in the register of members of the Company confirming that such Shares have been issued credited as fully paid), delivery and payment therefor by the purchaser in accordance with the Memorandum and Articles of Association (as defined in Schedule 1) and the Plan in the manner contemplated by the Registration Statement, the Shares will be validly created, legally issued, fully paid and non-assessable (meaning that no additional sums may be levied on the holder thereof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based upon the following assumptions: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left"/>
              <w:rPr/>
            </w:pPr>
            <w:r>
              <w:rPr/>
              <w:t>The originals of all documents examined in connection with this opinion are authentic. The signatures, initials and seals on the documents reviewed are genuine and are those of a person or persons given power to execute the documents under the Resolutions (as defined in Schedule 1). All documents purporting to be sealed have been so sealed. All copies are complete and conform to their originals.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2.</w:t>
            </w:r>
          </w:p>
        </w:tc>
        <w:tc>
          <w:tcPr>
            <w:tcW w:w="9994" w:type="dxa"/>
            <w:tcBorders/>
            <w:vAlign w:val="center"/>
          </w:tcPr>
          <w:p>
            <w:pPr>
              <w:pStyle w:val="TableContents"/>
              <w:bidi w:val="0"/>
              <w:spacing w:before="0" w:after="283"/>
              <w:jc w:val="left"/>
              <w:rPr/>
            </w:pPr>
            <w:r>
              <w:rPr/>
              <w:t>The Memorandum and Articles of Association reviewed by us will be the memorandum and articles of association of the Company in effect upon the issuance of the Shares.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3.</w:t>
            </w:r>
          </w:p>
        </w:tc>
        <w:tc>
          <w:tcPr>
            <w:tcW w:w="9984" w:type="dxa"/>
            <w:tcBorders/>
            <w:vAlign w:val="center"/>
          </w:tcPr>
          <w:p>
            <w:pPr>
              <w:pStyle w:val="TableContents"/>
              <w:bidi w:val="0"/>
              <w:spacing w:before="0" w:after="283"/>
              <w:jc w:val="left"/>
              <w:rPr/>
            </w:pPr>
            <w:r>
              <w:rPr/>
              <w:t>The accuracy and completeness of all factual representations made in the Registration Statement and all other documents reviewed by us.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left"/>
              <w:rPr/>
            </w:pPr>
            <w:r>
              <w:rPr/>
              <w:t>The Company will receive consideration in money or money’s worth for each Share offered by the Company when issued at the agreed issue price as per the terms of the Registration Statement, such price in any event not being less than the stated par or nominal value of each Share.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5.</w:t>
            </w:r>
          </w:p>
        </w:tc>
        <w:tc>
          <w:tcPr>
            <w:tcW w:w="10015" w:type="dxa"/>
            <w:tcBorders/>
            <w:vAlign w:val="center"/>
          </w:tcPr>
          <w:p>
            <w:pPr>
              <w:pStyle w:val="TableContents"/>
              <w:bidi w:val="0"/>
              <w:spacing w:before="0" w:after="283"/>
              <w:jc w:val="left"/>
              <w:rPr/>
            </w:pPr>
            <w:r>
              <w:rPr/>
              <w:t>There are no provisions of the laws of any jurisdiction outside the Cayman Islands which would be contravened by issuance and allotment of the Shares and, insofar as any obligation expressed to be incurred under any of the documents is to be performed in or is otherwise subject to the laws of any jurisdiction outside the Cayman Islands, its performance will not be illegal by virtue of the laws of that jurisdiction.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6.</w:t>
            </w:r>
          </w:p>
        </w:tc>
        <w:tc>
          <w:tcPr>
            <w:tcW w:w="9999" w:type="dxa"/>
            <w:tcBorders/>
            <w:vAlign w:val="center"/>
          </w:tcPr>
          <w:p>
            <w:pPr>
              <w:pStyle w:val="TableContents"/>
              <w:bidi w:val="0"/>
              <w:spacing w:before="0" w:after="283"/>
              <w:jc w:val="left"/>
              <w:rPr/>
            </w:pPr>
            <w:r>
              <w:rPr/>
              <w:t>The Company Records are complete and accurate and all matters required by law and the Memorandum and Articles of Association to be recorded therein are completely and accurately so recorded.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7.</w:t>
            </w:r>
          </w:p>
        </w:tc>
        <w:tc>
          <w:tcPr>
            <w:tcW w:w="9975" w:type="dxa"/>
            <w:tcBorders/>
            <w:vAlign w:val="center"/>
          </w:tcPr>
          <w:p>
            <w:pPr>
              <w:pStyle w:val="TableContents"/>
              <w:bidi w:val="0"/>
              <w:spacing w:before="0" w:after="283"/>
              <w:jc w:val="left"/>
              <w:rPr/>
            </w:pPr>
            <w:r>
              <w:rPr/>
              <w:t>On the date of issuance of the Shares, the Company has, or will have, sufficient authorised and unissued share capital.</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8.</w:t>
            </w:r>
          </w:p>
        </w:tc>
        <w:tc>
          <w:tcPr>
            <w:tcW w:w="10019" w:type="dxa"/>
            <w:tcBorders/>
            <w:vAlign w:val="center"/>
          </w:tcPr>
          <w:p>
            <w:pPr>
              <w:pStyle w:val="TableContents"/>
              <w:bidi w:val="0"/>
              <w:spacing w:before="0" w:after="283"/>
              <w:jc w:val="left"/>
              <w:rPr/>
            </w:pPr>
            <w:r>
              <w:rPr/>
              <w:t>The Resolutions are and shall remain in full force and effect and have not been and will not be rescinded or amended. As applicable, the Resolutions were either (a) duly adopted at duly convened meetings of the Board of Directors and such meetings were held and conducted in accordance with the Memorandum and Articles of Association in force at the relevant time, or (b) duly executed by or on behalf of each director or committee member and the signatures and initials thereon are those of a person or persons in whose name the Resolutions have been expressed to be signed.</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9.</w:t>
            </w:r>
          </w:p>
        </w:tc>
        <w:tc>
          <w:tcPr>
            <w:tcW w:w="10002" w:type="dxa"/>
            <w:tcBorders/>
            <w:vAlign w:val="center"/>
          </w:tcPr>
          <w:p>
            <w:pPr>
              <w:pStyle w:val="TableContents"/>
              <w:bidi w:val="0"/>
              <w:spacing w:before="0" w:after="283"/>
              <w:jc w:val="left"/>
              <w:rPr/>
            </w:pPr>
            <w:r>
              <w:rPr/>
              <w:t>The Registration Statement and the Plan conform in every material respect to the latest drafts of the same produced to us and, where provided in successive drafts, have been marked up to indicate all changes to such documents.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10.</w:t>
            </w:r>
          </w:p>
        </w:tc>
        <w:tc>
          <w:tcPr>
            <w:tcW w:w="9894" w:type="dxa"/>
            <w:tcBorders/>
            <w:vAlign w:val="center"/>
          </w:tcPr>
          <w:p>
            <w:pPr>
              <w:pStyle w:val="TableContents"/>
              <w:bidi w:val="0"/>
              <w:spacing w:before="0" w:after="283"/>
              <w:jc w:val="left"/>
              <w:rPr/>
            </w:pPr>
            <w:r>
              <w:rPr/>
              <w:t>Each of the Registration Statement and the Plan (including each award agreement issued pursuant thereto) will be duly authorised, executed and delivered by or on behalf of all relevant parties prior to the issue of the Shares and will be legal, valid, binding and enforceable against all relevant parties in accordance with their terms under all relevant laws (other than the laws of the Cayman Islands).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11.</w:t>
            </w:r>
          </w:p>
        </w:tc>
        <w:tc>
          <w:tcPr>
            <w:tcW w:w="9877" w:type="dxa"/>
            <w:tcBorders/>
            <w:vAlign w:val="center"/>
          </w:tcPr>
          <w:p>
            <w:pPr>
              <w:pStyle w:val="TableContents"/>
              <w:bidi w:val="0"/>
              <w:spacing w:before="0" w:after="283"/>
              <w:jc w:val="left"/>
              <w:rPr/>
            </w:pPr>
            <w:r>
              <w:rPr/>
              <w:t>All preconditions to the issue of the Shares under the terms of the Plan will be satisfied or duly waived prior to the issue of the Shares and there will be no breach of the terms of the Plan.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12.</w:t>
            </w:r>
          </w:p>
        </w:tc>
        <w:tc>
          <w:tcPr>
            <w:tcW w:w="9865" w:type="dxa"/>
            <w:tcBorders/>
            <w:vAlign w:val="center"/>
          </w:tcPr>
          <w:p>
            <w:pPr>
              <w:pStyle w:val="TableContents"/>
              <w:bidi w:val="0"/>
              <w:spacing w:before="0" w:after="283"/>
              <w:jc w:val="left"/>
              <w:rPr/>
            </w:pPr>
            <w:r>
              <w:rPr/>
              <w:t>There is nothing under any law (other than the laws of the Cayman Islands) which would or might affect any of the opinions set forth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the statements and representations of directors, officers and other representatives of the Company as to factual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as to the good standing of the Company is based solely upon receipt of the Certificate of Good Standing (as defined in Schedule 1) issued by the Registrar. The Company shall be deemed to be in good standing under Section 200A of the Companies Act (as amended) of the Cayman Islands (the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on the date of issue of the Certificate of Good Standing if all fees and penalties under the Companies Act have been paid and the Registrar has no knowledge that the Company is in default under the Companies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This opinion shall be construed in accordance with the laws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references to our firm, as Cayman Islands counsel to the Company,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Walkers (Cayman)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 (Cayman)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LIST OF DOCUMENTS EXAMINED</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left"/>
              <w:rPr/>
            </w:pPr>
            <w:r>
              <w:rPr/>
              <w:t>The Certificate of Incorporation dated 13 August 2020, the Certificate of Incorporation on Change of Name dated 31 March 2022, the Second Amended and Restated Memorandum and Articles of Association adopted by special resolution on 31 March 2022 and effective on 5 April 2022 (the “</w:t>
            </w:r>
            <w:r>
              <w:rPr>
                <w:b/>
              </w:rPr>
              <w:t>Memorandum and Articles of Association</w:t>
            </w:r>
            <w:r>
              <w:rPr/>
              <w:t>”), the Register of Directors, Register of Officers and Register of Mortgages and Charges, copies of which have been provided to us by its registered office in the Cayman Islands (together, the “</w:t>
            </w:r>
            <w:r>
              <w:rPr>
                <w:b/>
              </w:rPr>
              <w:t>Company Records</w:t>
            </w:r>
            <w:r>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left"/>
              <w:rPr/>
            </w:pPr>
            <w:r>
              <w:rPr/>
              <w:t>The Cayman Online Registry Information System (CORIS), the Cayman Islands’ General Registry’s online database, searched on 7 August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3.</w:t>
            </w:r>
          </w:p>
        </w:tc>
        <w:tc>
          <w:tcPr>
            <w:tcW w:w="9986" w:type="dxa"/>
            <w:tcBorders/>
            <w:vAlign w:val="center"/>
          </w:tcPr>
          <w:p>
            <w:pPr>
              <w:pStyle w:val="TableContents"/>
              <w:bidi w:val="0"/>
              <w:spacing w:before="0" w:after="283"/>
              <w:jc w:val="left"/>
              <w:rPr/>
            </w:pPr>
            <w:r>
              <w:rPr/>
              <w:t>A Certificate of Good Standing dated 7 August 2026 in respect of the Company issued by the Registrar (the “</w:t>
            </w:r>
            <w:r>
              <w:rPr>
                <w:b/>
              </w:rPr>
              <w:t>Certificate of Good Standing</w:t>
            </w:r>
            <w:r>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4.</w:t>
            </w:r>
          </w:p>
        </w:tc>
        <w:tc>
          <w:tcPr>
            <w:tcW w:w="10004" w:type="dxa"/>
            <w:tcBorders/>
            <w:vAlign w:val="center"/>
          </w:tcPr>
          <w:p>
            <w:pPr>
              <w:pStyle w:val="TableContents"/>
              <w:bidi w:val="0"/>
              <w:spacing w:before="0" w:after="283"/>
              <w:jc w:val="left"/>
              <w:rPr/>
            </w:pPr>
            <w:r>
              <w:rPr/>
              <w:t>Copies of the executed written resolutions of the board of directors of the Company and the executed written consent of the compensation committee of the board of directors of the Company, each dated 17 April 2026 (the “</w:t>
            </w:r>
            <w:r>
              <w:rPr>
                <w:b/>
              </w:rPr>
              <w:t>Resolutions</w:t>
            </w:r>
            <w:r>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5.</w:t>
            </w:r>
          </w:p>
        </w:tc>
        <w:tc>
          <w:tcPr>
            <w:tcW w:w="9368" w:type="dxa"/>
            <w:tcBorders/>
            <w:vAlign w:val="center"/>
          </w:tcPr>
          <w:p>
            <w:pPr>
              <w:pStyle w:val="TableContents"/>
              <w:bidi w:val="0"/>
              <w:spacing w:before="0" w:after="283"/>
              <w:jc w:val="left"/>
              <w:rPr/>
            </w:pPr>
            <w:r>
              <w:rPr/>
              <w:t>The Registration Statement.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1718"/>
        <w:gridCol w:w="8161"/>
      </w:tblGrid>
      <w:tr>
        <w:trPr/>
        <w:tc>
          <w:tcPr>
            <w:tcW w:w="32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pPr>
            <w:r>
              <w:rPr/>
              <w:t>6.</w:t>
            </w:r>
          </w:p>
        </w:tc>
        <w:tc>
          <w:tcPr>
            <w:tcW w:w="8161" w:type="dxa"/>
            <w:tcBorders/>
            <w:vAlign w:val="center"/>
          </w:tcPr>
          <w:p>
            <w:pPr>
              <w:pStyle w:val="TableContents"/>
              <w:bidi w:val="0"/>
              <w:spacing w:before="0" w:after="283"/>
              <w:jc w:val="left"/>
              <w:rPr/>
            </w:pPr>
            <w:r>
              <w:rPr/>
              <w:t>The Plan.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29"/>
        <w:gridCol w:w="9933"/>
      </w:tblGrid>
      <w:tr>
        <w:trPr/>
        <w:tc>
          <w:tcPr>
            <w:tcW w:w="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7.</w:t>
            </w:r>
          </w:p>
        </w:tc>
        <w:tc>
          <w:tcPr>
            <w:tcW w:w="9933" w:type="dxa"/>
            <w:tcBorders/>
            <w:vAlign w:val="center"/>
          </w:tcPr>
          <w:p>
            <w:pPr>
              <w:pStyle w:val="TableContents"/>
              <w:bidi w:val="0"/>
              <w:spacing w:before="0" w:after="283"/>
              <w:jc w:val="left"/>
              <w:rPr/>
            </w:pPr>
            <w:r>
              <w:rPr/>
              <w:t>Such other documents as we have deemed necessary to render the opinions set forth herein.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4" w:name="ea030065901ex23-2.htm"/>
      <w:bookmarkStart w:id="5" w:name="ksea030065901ex232"/>
      <w:bookmarkEnd w:id="4"/>
      <w:bookmarkEnd w:id="5"/>
      <w:r>
        <w:rPr>
          <w:b/>
        </w:rPr>
        <w:t>Exhibit 23.2</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MoonLake Immunotherapeutics (the “Company”) of our report dated February 25, 2026, relating to the consolidated financial statements of the Company and the effectiveness of internal control over financial reporting of the Company, appearing in the Annual Report on Form 10-K of the Company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6" w:name="ea030065901ex-fee.htm"/>
      <w:bookmarkStart w:id="7" w:name="ksea030065901exfee"/>
      <w:bookmarkEnd w:id="6"/>
      <w:bookmarkEnd w:id="7"/>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MoonLake Immunotherapeutics</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685" w:type="dxa"/>
        <w:jc w:val="left"/>
        <w:tblInd w:w="0" w:type="dxa"/>
        <w:tblLayout w:type="fixed"/>
        <w:tblCellMar>
          <w:top w:w="0" w:type="dxa"/>
          <w:left w:w="0" w:type="dxa"/>
          <w:bottom w:w="0" w:type="dxa"/>
          <w:right w:w="0" w:type="dxa"/>
        </w:tblCellMar>
      </w:tblPr>
      <w:tblGrid>
        <w:gridCol w:w="815"/>
        <w:gridCol w:w="60"/>
        <w:gridCol w:w="1940"/>
        <w:gridCol w:w="60"/>
        <w:gridCol w:w="575"/>
        <w:gridCol w:w="60"/>
        <w:gridCol w:w="1100"/>
        <w:gridCol w:w="60"/>
        <w:gridCol w:w="1025"/>
        <w:gridCol w:w="60"/>
        <w:gridCol w:w="199"/>
        <w:gridCol w:w="796"/>
        <w:gridCol w:w="60"/>
        <w:gridCol w:w="140"/>
        <w:gridCol w:w="1400"/>
        <w:gridCol w:w="60"/>
        <w:gridCol w:w="1040"/>
        <w:gridCol w:w="60"/>
        <w:gridCol w:w="144"/>
        <w:gridCol w:w="1031"/>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815"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Class A Ordinary Share, $0.0001 par value per share, to be issued under the MoonLake Immunotherapeutics Amended and Restated 2022 Equity Incentive Plan (the "Plan")</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17.62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88,100,000.00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12,166.61</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750"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88,100,000.00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12,166.61</w:t>
            </w:r>
          </w:p>
        </w:tc>
      </w:tr>
      <w:tr>
        <w:trPr/>
        <w:tc>
          <w:tcPr>
            <w:tcW w:w="6750"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750"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12,166.61</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The “Amount Registered” represents 5,000,000 Class A Ordinary Shares, $0.0001 par value per share (“Ordinary Shares”), of MoonLake Immunotherapeutics issuable under the Plan. Pursuant to Rule 416 under the Securities Act of 1933, as amended (the “Securities Act”), this Registration Statement on Form S-8 also includes additional Ordinary Shares in respect of the securities identified in the above table that may become issuable through the Plan as a result of any scrip dividend, sub-division of shares, recapitalization or other similar transactions. The “Proposed Maximum Offering Price Per Share” and the “Maximum Aggregate Offering Price” are estimated solely for calculating the registration fee, pursuant to paragraphs (c) and (h) of Rule 457 under the Securities Act, on the basis of the average of the high and low sale prices of the Ordinary Shares on The Nasdaq Stock Market LLC on August 4, 2026, within five business days prior to filing.</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21586/000182158626000002/mnlk-20251231.htm" TargetMode="External"/><Relationship Id="rId3" Type="http://schemas.openxmlformats.org/officeDocument/2006/relationships/hyperlink" Target="https://www.sec.gov/ix?doc=/Archives/edgar/data/0001821586/000182158626000007/mnlk-20260331.htm" TargetMode="External"/><Relationship Id="rId4" Type="http://schemas.openxmlformats.org/officeDocument/2006/relationships/hyperlink" Target="https://www.sec.gov/ix?doc=/Archives/edgar/data/1821586/000182158626000010/mnlk-20260630.htm" TargetMode="External"/><Relationship Id="rId5" Type="http://schemas.openxmlformats.org/officeDocument/2006/relationships/hyperlink" Target="https://www.sec.gov/ix?doc=/Archives/edgar/data/0001821586/000121390026002344/ea0272252-8k_moonlake.htm" TargetMode="External"/><Relationship Id="rId6" Type="http://schemas.openxmlformats.org/officeDocument/2006/relationships/hyperlink" Target="https://www.sec.gov/ix?doc=/Archives/edgar/data/0001821586/000121390026018967/ea0277910-8k_moonlake.htm" TargetMode="External"/><Relationship Id="rId7" Type="http://schemas.openxmlformats.org/officeDocument/2006/relationships/hyperlink" Target="https://www.sec.gov/ix?doc=/Archives/edgar/data/0001821586/000121390026063125/ea0292693-8k_moonlake.htm" TargetMode="External"/><Relationship Id="rId8" Type="http://schemas.openxmlformats.org/officeDocument/2006/relationships/hyperlink" Target="https://www.sec.gov/ix?doc=/Archives/edgar/data/0001821586/000121390026066821/ea0294064-8k_moonlake.htm" TargetMode="External"/><Relationship Id="rId9" Type="http://schemas.openxmlformats.org/officeDocument/2006/relationships/hyperlink" Target="https://www.sec.gov/ix?doc=/Archives/edgar/data/0001821586/000121390026070362/ea0295399-8k_moonlake.htm" TargetMode="External"/><Relationship Id="rId10" Type="http://schemas.openxmlformats.org/officeDocument/2006/relationships/hyperlink" Target="https://www.sec.gov/ix?doc=/Archives/edgar/data/0001821586/000121390026071721/ea0295766-8k_moonlake.htm" TargetMode="External"/><Relationship Id="rId11" Type="http://schemas.openxmlformats.org/officeDocument/2006/relationships/hyperlink" Target="https://www.sec.gov/ix?doc=/Archives/edgar/data/0001821586/000121390026078031/ea0298054-8k_moonlake.htm" TargetMode="External"/><Relationship Id="rId12" Type="http://schemas.openxmlformats.org/officeDocument/2006/relationships/hyperlink" Target="https://www.sec.gov/Archives/edgar/data/1821586/000121390020031945/ea128493-8a12b_helixacqui.htm" TargetMode="External"/><Relationship Id="rId13" Type="http://schemas.openxmlformats.org/officeDocument/2006/relationships/hyperlink" Target="https://www.sec.gov/Archives/edgar/data/1821586/000182158626000002/mltx-exhibit4111.htm" TargetMode="External"/><Relationship Id="rId14" Type="http://schemas.openxmlformats.org/officeDocument/2006/relationships/hyperlink" Target="https://www.sec.gov/ix?doc=/Archives/edgar/data/1821586/000182158626000002/mnlk-20251231.htm" TargetMode="External"/><Relationship Id="rId15" Type="http://schemas.openxmlformats.org/officeDocument/2006/relationships/hyperlink" Target="https://www.sec.gov/Archives/edgar/data/1821586/000121390022019217/ea158227ex3-1_moonlake.htm" TargetMode="External"/><Relationship Id="rId16" Type="http://schemas.openxmlformats.org/officeDocument/2006/relationships/hyperlink" Target="https://www.sec.gov/Archives/edgar/data/1821586/000121390026066821/ea029406401ex10-1.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4205</Words>
  <Characters>22450</Characters>
  <CharactersWithSpaces>26799</CharactersWithSpaces>
  <Paragraphs>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