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7045960" cy="5125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5720"/>
                    </a:xfrm>
                    <a:prstGeom prst="rect">
                      <a:avLst/>
                    </a:prstGeom>
                    <a:noFill/>
                  </pic:spPr>
                </pic:pic>
              </a:graphicData>
            </a:graphic>
          </wp:anchor>
        </w:drawing>
      </w:r>
    </w:p>
    <w:p>
      <w:pPr>
        <w:spacing w:after="0" w:line="118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Phillips Andrew John</w:t>
              </w:r>
            </w:hyperlink>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3"/>
          </w:tcPr>
          <w:p>
            <w:pPr>
              <w:ind w:left="60"/>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MoonLake Immunotherapeutics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MLTX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140" w:type="dxa"/>
            <w:vAlign w:val="bottom"/>
            <w:gridSpan w:val="4"/>
            <w:vMerge w:val="continue"/>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60" w:type="dxa"/>
            <w:vAlign w:val="bottom"/>
            <w:tcBorders>
              <w:bottom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MOONLAKE IMMUNOTHERAPEUTICS</w:t>
            </w:r>
          </w:p>
        </w:tc>
        <w:tc>
          <w:tcPr>
            <w:tcW w:w="282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DORFSTRASSE 29</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ZUG</w:t>
      </w:r>
      <w:r>
        <w:rPr>
          <w:sz w:val="20"/>
          <w:szCs w:val="20"/>
          <w:color w:val="auto"/>
        </w:rPr>
        <w:tab/>
      </w:r>
      <w:r>
        <w:rPr>
          <w:rFonts w:ascii="Times New Roman" w:cs="Times New Roman" w:eastAsia="Times New Roman" w:hAnsi="Times New Roman"/>
          <w:sz w:val="17"/>
          <w:szCs w:val="17"/>
          <w:color w:val="0000FF"/>
        </w:rPr>
        <w:t>V8</w:t>
      </w:r>
      <w:r>
        <w:rPr>
          <w:sz w:val="20"/>
          <w:szCs w:val="20"/>
          <w:color w:val="auto"/>
        </w:rPr>
        <w:tab/>
      </w:r>
      <w:r>
        <w:rPr>
          <w:rFonts w:ascii="Times New Roman" w:cs="Times New Roman" w:eastAsia="Times New Roman" w:hAnsi="Times New Roman"/>
          <w:sz w:val="17"/>
          <w:szCs w:val="17"/>
          <w:color w:val="0000FF"/>
        </w:rPr>
        <w:t>6300</w:t>
      </w:r>
    </w:p>
    <w:p>
      <w:pPr>
        <w:spacing w:after="0" w:line="323"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to</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19.19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22,195</w:t>
            </w: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06/17/2036</w:t>
            </w: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6"/>
              </w:rPr>
              <w:t>par</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22,195</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22,195</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Buy</w:t>
            </w: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$0.0001</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6"/>
              </w:rPr>
              <w:t>per</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4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22,195 Class A Ordinary Shares of the Issuer, which will vest in full the earlier of (i) June 17, 2027 and (ii) the date of the Issuer's next annual general meeting of shareholders, subject to the Reporting Person's continued service to the Issuer.</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Matthias Bodenstedt,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36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Andrew</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John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555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1956" TargetMode="External"/><Relationship Id="rId14" Type="http://schemas.openxmlformats.org/officeDocument/2006/relationships/hyperlink" Target="http://www.sec.gov/cgi-bin/browse-edgar?action=getcompany&amp;CIK=0001821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2026-06-18T17:46:05Z</dcterms:created>
  <dcterms:modified xsi:type="dcterms:W3CDTF">2026-06-18T17:46:05Z</dcterms:modified>
</cp:coreProperties>
</file>